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ZWMR6GE7RSA0THGRARNQL0J7ZC0OXPREN06WJDUXGPRTFCTZ8BRKCJWFS6HPC8RBSMXHOLKZHK78HJJQXFAPF8H8RLMWLCB8NODRHB3AF02DF696CEB48FDC658F28C365F3235" Type="http://schemas.microsoft.com/office/2006/relationships/officeDocumentMain" Target="NULL"/><Relationship Id="CPWMR6BA7RSA0V9GQARNDLJB7ZQMOAVRQO0XOJDXXGH8TQLTNRBR6CJGFY5HPCRRXEM69OL0ZHJD8LXJRXFTIF8O8RZ0WMLB8UOOMHB39B4EEC6B00340F461735A2C9885FB538"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16DC" w14:textId="66FDBF19" w:rsidR="008B0B9E" w:rsidRPr="009619C1" w:rsidRDefault="008B0B9E" w:rsidP="001038F5">
      <w:pPr>
        <w:spacing w:before="156" w:after="156"/>
        <w:rPr>
          <w:rFonts w:ascii="宋体" w:hAnsi="宋体" w:cs="宋体"/>
          <w:szCs w:val="21"/>
        </w:rPr>
      </w:pPr>
      <w:r w:rsidRPr="009619C1">
        <w:rPr>
          <w:rFonts w:ascii="宋体" w:hAnsi="宋体" w:cs="宋体" w:hint="eastAsia"/>
          <w:szCs w:val="21"/>
        </w:rPr>
        <w:t xml:space="preserve">证券代码：002035            </w:t>
      </w:r>
      <w:r w:rsidR="00E76143" w:rsidRPr="009619C1">
        <w:rPr>
          <w:rFonts w:ascii="宋体" w:hAnsi="宋体" w:cs="宋体" w:hint="eastAsia"/>
          <w:szCs w:val="21"/>
        </w:rPr>
        <w:t xml:space="preserve">  </w:t>
      </w:r>
      <w:r w:rsidRPr="009619C1">
        <w:rPr>
          <w:rFonts w:ascii="宋体" w:hAnsi="宋体" w:cs="宋体" w:hint="eastAsia"/>
          <w:szCs w:val="21"/>
        </w:rPr>
        <w:t xml:space="preserve">证券简称：华帝股份        </w:t>
      </w:r>
      <w:r w:rsidR="00E76143" w:rsidRPr="009619C1">
        <w:rPr>
          <w:rFonts w:ascii="宋体" w:hAnsi="宋体" w:cs="宋体" w:hint="eastAsia"/>
          <w:szCs w:val="21"/>
        </w:rPr>
        <w:t xml:space="preserve">   </w:t>
      </w:r>
      <w:r w:rsidRPr="009619C1">
        <w:rPr>
          <w:rFonts w:ascii="宋体" w:hAnsi="宋体" w:cs="宋体" w:hint="eastAsia"/>
          <w:szCs w:val="21"/>
        </w:rPr>
        <w:t>公告编号：</w:t>
      </w:r>
      <w:r w:rsidR="003A774B" w:rsidRPr="009619C1">
        <w:rPr>
          <w:rFonts w:ascii="宋体" w:hAnsi="宋体" w:cs="宋体"/>
          <w:szCs w:val="21"/>
        </w:rPr>
        <w:t>2020-008</w:t>
      </w:r>
    </w:p>
    <w:p w14:paraId="1526E0B3" w14:textId="77777777" w:rsidR="008B0B9E" w:rsidRPr="009619C1" w:rsidRDefault="008B0B9E" w:rsidP="001038F5">
      <w:r w:rsidRPr="009619C1">
        <w:rPr>
          <w:rFonts w:hint="eastAsia"/>
        </w:rPr>
        <w:t xml:space="preserve"> </w:t>
      </w:r>
    </w:p>
    <w:p w14:paraId="0F86E05D" w14:textId="77777777" w:rsidR="008B0B9E" w:rsidRPr="009619C1" w:rsidRDefault="008B0B9E" w:rsidP="001038F5">
      <w:pPr>
        <w:jc w:val="center"/>
        <w:rPr>
          <w:rFonts w:ascii="宋体" w:hAnsi="宋体" w:cs="宋体"/>
          <w:b/>
          <w:bCs/>
          <w:sz w:val="28"/>
          <w:szCs w:val="28"/>
        </w:rPr>
      </w:pPr>
      <w:r w:rsidRPr="009619C1">
        <w:rPr>
          <w:rFonts w:ascii="宋体" w:hAnsi="宋体" w:cs="宋体" w:hint="eastAsia"/>
          <w:b/>
          <w:bCs/>
          <w:sz w:val="28"/>
          <w:szCs w:val="28"/>
        </w:rPr>
        <w:t xml:space="preserve">华帝股份有限公司 </w:t>
      </w:r>
    </w:p>
    <w:p w14:paraId="4459FF24" w14:textId="5311D28C" w:rsidR="008B0B9E" w:rsidRPr="009619C1" w:rsidRDefault="003A774B" w:rsidP="001038F5">
      <w:pPr>
        <w:jc w:val="center"/>
        <w:rPr>
          <w:rFonts w:ascii="宋体" w:hAnsi="宋体" w:cs="宋体"/>
          <w:b/>
          <w:bCs/>
          <w:sz w:val="30"/>
          <w:szCs w:val="30"/>
        </w:rPr>
      </w:pPr>
      <w:r w:rsidRPr="009619C1">
        <w:rPr>
          <w:rFonts w:ascii="宋体" w:hAnsi="宋体" w:cs="宋体"/>
          <w:b/>
          <w:bCs/>
          <w:sz w:val="28"/>
          <w:szCs w:val="28"/>
        </w:rPr>
        <w:t>2019</w:t>
      </w:r>
      <w:r w:rsidR="008B0B9E" w:rsidRPr="009619C1">
        <w:rPr>
          <w:rFonts w:ascii="宋体" w:hAnsi="宋体" w:cs="宋体" w:hint="eastAsia"/>
          <w:b/>
          <w:bCs/>
          <w:sz w:val="28"/>
          <w:szCs w:val="28"/>
        </w:rPr>
        <w:t>年度利润分配预案的公告</w:t>
      </w:r>
      <w:r w:rsidR="008B0B9E" w:rsidRPr="009619C1">
        <w:rPr>
          <w:sz w:val="32"/>
          <w:szCs w:val="32"/>
        </w:rPr>
        <w:t xml:space="preserve"> </w:t>
      </w:r>
      <w:r w:rsidR="008B0B9E" w:rsidRPr="009619C1">
        <w:rPr>
          <w:rFonts w:ascii="宋体" w:hAnsi="宋体" w:cs="宋体" w:hint="eastAsia"/>
          <w:b/>
          <w:bCs/>
          <w:sz w:val="30"/>
          <w:szCs w:val="30"/>
        </w:rPr>
        <w:t xml:space="preserve"> </w:t>
      </w:r>
    </w:p>
    <w:p w14:paraId="4B9DDA20" w14:textId="77777777" w:rsidR="008B0B9E" w:rsidRPr="009619C1" w:rsidRDefault="008B0B9E" w:rsidP="001038F5">
      <w:pPr>
        <w:spacing w:before="156" w:after="156"/>
      </w:pPr>
      <w:r w:rsidRPr="009619C1">
        <w:rPr>
          <w:rFonts w:hint="eastAsia"/>
        </w:rPr>
        <w:t xml:space="preserve"> </w:t>
      </w:r>
    </w:p>
    <w:p w14:paraId="01C5D37F" w14:textId="77777777" w:rsidR="007260D1" w:rsidRPr="009619C1" w:rsidRDefault="008B0B9E" w:rsidP="001038F5">
      <w:pPr>
        <w:adjustRightInd w:val="0"/>
        <w:snapToGrid w:val="0"/>
        <w:spacing w:line="360" w:lineRule="auto"/>
        <w:ind w:firstLineChars="200" w:firstLine="422"/>
        <w:rPr>
          <w:rFonts w:asciiTheme="minorEastAsia" w:eastAsiaTheme="minorEastAsia" w:hAnsiTheme="minorEastAsia" w:cs="宋体"/>
          <w:b/>
          <w:bCs/>
          <w:szCs w:val="21"/>
        </w:rPr>
      </w:pPr>
      <w:r w:rsidRPr="009619C1">
        <w:rPr>
          <w:rFonts w:asciiTheme="minorEastAsia" w:eastAsiaTheme="minorEastAsia" w:hAnsiTheme="minorEastAsia" w:cs="宋体" w:hint="eastAsia"/>
          <w:b/>
          <w:bCs/>
          <w:szCs w:val="21"/>
        </w:rPr>
        <w:t>本公司及董事会全体成员保证信息披露的内容真实、准确、完整，没有虚假记载、误导性陈述或重大遗漏。</w:t>
      </w:r>
    </w:p>
    <w:p w14:paraId="223FB946" w14:textId="77777777" w:rsidR="00CE35E3" w:rsidRPr="009619C1" w:rsidRDefault="00CE35E3" w:rsidP="001038F5">
      <w:pPr>
        <w:pStyle w:val="a9"/>
        <w:shd w:val="clear" w:color="auto" w:fill="FFFFFF"/>
        <w:adjustRightInd w:val="0"/>
        <w:snapToGrid w:val="0"/>
        <w:spacing w:beforeLines="100" w:before="316" w:beforeAutospacing="0" w:after="0" w:afterAutospacing="0" w:line="360" w:lineRule="auto"/>
        <w:rPr>
          <w:rFonts w:asciiTheme="minorEastAsia" w:eastAsiaTheme="minorEastAsia" w:hAnsiTheme="minorEastAsia"/>
          <w:b/>
          <w:sz w:val="21"/>
          <w:szCs w:val="21"/>
        </w:rPr>
      </w:pPr>
      <w:r w:rsidRPr="009619C1">
        <w:rPr>
          <w:rFonts w:asciiTheme="minorEastAsia" w:eastAsiaTheme="minorEastAsia" w:hAnsiTheme="minorEastAsia"/>
          <w:b/>
          <w:sz w:val="21"/>
          <w:szCs w:val="21"/>
        </w:rPr>
        <w:t xml:space="preserve">内容提示: </w:t>
      </w:r>
    </w:p>
    <w:p w14:paraId="01B366BC" w14:textId="4301BAB7" w:rsidR="00CE35E3" w:rsidRPr="009619C1" w:rsidRDefault="00CE35E3" w:rsidP="001038F5">
      <w:pPr>
        <w:pStyle w:val="a9"/>
        <w:shd w:val="clear" w:color="auto" w:fill="FFFFFF"/>
        <w:adjustRightInd w:val="0"/>
        <w:snapToGrid w:val="0"/>
        <w:spacing w:before="0" w:beforeAutospacing="0" w:after="0" w:afterAutospacing="0" w:line="360" w:lineRule="auto"/>
        <w:rPr>
          <w:rFonts w:asciiTheme="minorEastAsia" w:eastAsiaTheme="minorEastAsia" w:hAnsiTheme="minorEastAsia"/>
          <w:sz w:val="21"/>
          <w:szCs w:val="21"/>
        </w:rPr>
      </w:pPr>
      <w:r w:rsidRPr="009619C1">
        <w:rPr>
          <w:rFonts w:asciiTheme="minorEastAsia" w:eastAsiaTheme="minorEastAsia" w:hAnsiTheme="minorEastAsia" w:hint="eastAsia"/>
          <w:kern w:val="2"/>
          <w:sz w:val="21"/>
          <w:szCs w:val="21"/>
        </w:rPr>
        <w:sym w:font="Wingdings" w:char="F06C"/>
      </w:r>
      <w:r w:rsidRPr="009619C1">
        <w:rPr>
          <w:rFonts w:asciiTheme="minorEastAsia" w:eastAsiaTheme="minorEastAsia" w:hAnsiTheme="minorEastAsia"/>
          <w:kern w:val="2"/>
          <w:sz w:val="21"/>
          <w:szCs w:val="21"/>
        </w:rPr>
        <w:t xml:space="preserve"> 每10股派发现金</w:t>
      </w:r>
      <w:r w:rsidRPr="009619C1">
        <w:rPr>
          <w:rFonts w:asciiTheme="minorEastAsia" w:eastAsiaTheme="minorEastAsia" w:hAnsiTheme="minorEastAsia" w:hint="eastAsia"/>
          <w:kern w:val="2"/>
          <w:sz w:val="21"/>
          <w:szCs w:val="21"/>
        </w:rPr>
        <w:t>红利3.00</w:t>
      </w:r>
      <w:r w:rsidRPr="009619C1">
        <w:rPr>
          <w:rFonts w:asciiTheme="minorEastAsia" w:eastAsiaTheme="minorEastAsia" w:hAnsiTheme="minorEastAsia"/>
          <w:kern w:val="2"/>
          <w:sz w:val="21"/>
          <w:szCs w:val="21"/>
        </w:rPr>
        <w:t>元(含税)</w:t>
      </w:r>
      <w:r w:rsidR="00963ACF" w:rsidRPr="009619C1">
        <w:rPr>
          <w:rFonts w:asciiTheme="minorEastAsia" w:eastAsiaTheme="minorEastAsia" w:hAnsiTheme="minorEastAsia" w:hint="eastAsia"/>
          <w:kern w:val="2"/>
          <w:sz w:val="21"/>
          <w:szCs w:val="21"/>
        </w:rPr>
        <w:t>,</w:t>
      </w:r>
      <w:r w:rsidR="00963ACF" w:rsidRPr="009619C1">
        <w:rPr>
          <w:rFonts w:asciiTheme="minorEastAsia" w:eastAsiaTheme="minorEastAsia" w:hAnsiTheme="minorEastAsia"/>
          <w:kern w:val="2"/>
          <w:sz w:val="21"/>
          <w:szCs w:val="21"/>
        </w:rPr>
        <w:t>不进行资本公积金转增股本，不送红股</w:t>
      </w:r>
      <w:r w:rsidR="007535C2" w:rsidRPr="009619C1">
        <w:rPr>
          <w:rFonts w:asciiTheme="minorEastAsia" w:eastAsiaTheme="minorEastAsia" w:hAnsiTheme="minorEastAsia" w:hint="eastAsia"/>
          <w:kern w:val="2"/>
          <w:sz w:val="21"/>
          <w:szCs w:val="21"/>
        </w:rPr>
        <w:t>；</w:t>
      </w:r>
      <w:r w:rsidRPr="009619C1">
        <w:rPr>
          <w:rFonts w:asciiTheme="minorEastAsia" w:eastAsiaTheme="minorEastAsia" w:hAnsiTheme="minorEastAsia"/>
          <w:kern w:val="2"/>
          <w:sz w:val="21"/>
          <w:szCs w:val="21"/>
        </w:rPr>
        <w:br/>
      </w:r>
      <w:r w:rsidRPr="009619C1">
        <w:rPr>
          <w:rFonts w:asciiTheme="minorEastAsia" w:eastAsiaTheme="minorEastAsia" w:hAnsiTheme="minorEastAsia" w:hint="eastAsia"/>
          <w:kern w:val="2"/>
          <w:sz w:val="21"/>
          <w:szCs w:val="21"/>
        </w:rPr>
        <w:sym w:font="Wingdings" w:char="F06C"/>
      </w:r>
      <w:r w:rsidRPr="009619C1">
        <w:rPr>
          <w:rFonts w:asciiTheme="minorEastAsia" w:eastAsiaTheme="minorEastAsia" w:hAnsiTheme="minorEastAsia"/>
          <w:kern w:val="2"/>
          <w:sz w:val="21"/>
          <w:szCs w:val="21"/>
        </w:rPr>
        <w:t xml:space="preserve"> 上市公司回购专用账户中的股份不享有利润分配的权利</w:t>
      </w:r>
      <w:r w:rsidR="00D3230B" w:rsidRPr="009619C1">
        <w:rPr>
          <w:rFonts w:asciiTheme="minorEastAsia" w:eastAsiaTheme="minorEastAsia" w:hAnsiTheme="minorEastAsia" w:hint="eastAsia"/>
          <w:kern w:val="2"/>
          <w:sz w:val="21"/>
          <w:szCs w:val="21"/>
        </w:rPr>
        <w:t>；</w:t>
      </w:r>
      <w:r w:rsidRPr="009619C1">
        <w:rPr>
          <w:rFonts w:asciiTheme="minorEastAsia" w:eastAsiaTheme="minorEastAsia" w:hAnsiTheme="minorEastAsia"/>
          <w:kern w:val="2"/>
          <w:sz w:val="21"/>
          <w:szCs w:val="21"/>
        </w:rPr>
        <w:br/>
      </w:r>
      <w:r w:rsidRPr="009619C1">
        <w:rPr>
          <w:rFonts w:asciiTheme="minorEastAsia" w:eastAsiaTheme="minorEastAsia" w:hAnsiTheme="minorEastAsia" w:hint="eastAsia"/>
          <w:kern w:val="2"/>
          <w:sz w:val="21"/>
          <w:szCs w:val="21"/>
        </w:rPr>
        <w:sym w:font="Wingdings" w:char="F06C"/>
      </w:r>
      <w:r w:rsidRPr="009619C1">
        <w:rPr>
          <w:rFonts w:asciiTheme="minorEastAsia" w:eastAsiaTheme="minorEastAsia" w:hAnsiTheme="minorEastAsia"/>
          <w:kern w:val="2"/>
          <w:sz w:val="21"/>
          <w:szCs w:val="21"/>
        </w:rPr>
        <w:t xml:space="preserve"> 该预案尚需提交公司</w:t>
      </w:r>
      <w:r w:rsidR="003A774B" w:rsidRPr="009619C1">
        <w:rPr>
          <w:rFonts w:asciiTheme="minorEastAsia" w:eastAsiaTheme="minorEastAsia" w:hAnsiTheme="minorEastAsia"/>
          <w:kern w:val="2"/>
          <w:sz w:val="21"/>
          <w:szCs w:val="21"/>
        </w:rPr>
        <w:t>2019</w:t>
      </w:r>
      <w:r w:rsidRPr="009619C1">
        <w:rPr>
          <w:rFonts w:asciiTheme="minorEastAsia" w:eastAsiaTheme="minorEastAsia" w:hAnsiTheme="minorEastAsia"/>
          <w:kern w:val="2"/>
          <w:sz w:val="21"/>
          <w:szCs w:val="21"/>
        </w:rPr>
        <w:t>年度股东大会审议。</w:t>
      </w:r>
      <w:r w:rsidRPr="009619C1">
        <w:rPr>
          <w:rFonts w:asciiTheme="minorEastAsia" w:eastAsiaTheme="minorEastAsia" w:hAnsiTheme="minorEastAsia"/>
          <w:sz w:val="21"/>
          <w:szCs w:val="21"/>
        </w:rPr>
        <w:t xml:space="preserve"> </w:t>
      </w:r>
    </w:p>
    <w:p w14:paraId="1D4F68C2" w14:textId="5A077D3B" w:rsidR="00314F19" w:rsidRPr="009619C1" w:rsidRDefault="00314F19" w:rsidP="001038F5">
      <w:pPr>
        <w:adjustRightInd w:val="0"/>
        <w:snapToGrid w:val="0"/>
        <w:spacing w:beforeLines="100" w:before="316" w:line="360" w:lineRule="auto"/>
        <w:ind w:firstLineChars="200" w:firstLine="420"/>
        <w:rPr>
          <w:rFonts w:asciiTheme="minorEastAsia" w:eastAsiaTheme="minorEastAsia" w:hAnsiTheme="minorEastAsia"/>
          <w:szCs w:val="21"/>
        </w:rPr>
      </w:pPr>
      <w:r w:rsidRPr="009619C1">
        <w:rPr>
          <w:rFonts w:asciiTheme="minorEastAsia" w:eastAsiaTheme="minorEastAsia" w:hAnsiTheme="minorEastAsia" w:hint="eastAsia"/>
          <w:szCs w:val="21"/>
        </w:rPr>
        <w:t>华帝股份有限公司</w:t>
      </w:r>
      <w:r w:rsidRPr="009619C1">
        <w:rPr>
          <w:rFonts w:asciiTheme="minorEastAsia" w:eastAsiaTheme="minorEastAsia" w:hAnsiTheme="minorEastAsia"/>
          <w:szCs w:val="21"/>
        </w:rPr>
        <w:t>（以下简称“公司”）于</w:t>
      </w:r>
      <w:r w:rsidR="003A774B" w:rsidRPr="009619C1">
        <w:rPr>
          <w:rFonts w:asciiTheme="minorEastAsia" w:eastAsiaTheme="minorEastAsia" w:hAnsiTheme="minorEastAsia"/>
          <w:szCs w:val="21"/>
        </w:rPr>
        <w:t>2020</w:t>
      </w:r>
      <w:r w:rsidR="003A774B" w:rsidRPr="009619C1">
        <w:rPr>
          <w:rFonts w:asciiTheme="minorEastAsia" w:eastAsiaTheme="minorEastAsia" w:hAnsiTheme="minorEastAsia" w:hint="eastAsia"/>
          <w:szCs w:val="21"/>
        </w:rPr>
        <w:t>年4月2</w:t>
      </w:r>
      <w:r w:rsidR="003A774B" w:rsidRPr="009619C1">
        <w:rPr>
          <w:rFonts w:asciiTheme="minorEastAsia" w:eastAsiaTheme="minorEastAsia" w:hAnsiTheme="minorEastAsia"/>
          <w:szCs w:val="21"/>
        </w:rPr>
        <w:t>8</w:t>
      </w:r>
      <w:r w:rsidR="003A774B" w:rsidRPr="009619C1">
        <w:rPr>
          <w:rFonts w:asciiTheme="minorEastAsia" w:eastAsiaTheme="minorEastAsia" w:hAnsiTheme="minorEastAsia" w:hint="eastAsia"/>
          <w:szCs w:val="21"/>
        </w:rPr>
        <w:t>日</w:t>
      </w:r>
      <w:r w:rsidRPr="009619C1">
        <w:rPr>
          <w:rFonts w:asciiTheme="minorEastAsia" w:eastAsiaTheme="minorEastAsia" w:hAnsiTheme="minorEastAsia"/>
          <w:szCs w:val="21"/>
        </w:rPr>
        <w:t>召开了第</w:t>
      </w:r>
      <w:r w:rsidR="003A774B" w:rsidRPr="009619C1">
        <w:rPr>
          <w:rFonts w:asciiTheme="minorEastAsia" w:eastAsiaTheme="minorEastAsia" w:hAnsiTheme="minorEastAsia" w:hint="eastAsia"/>
          <w:szCs w:val="21"/>
        </w:rPr>
        <w:t>七</w:t>
      </w:r>
      <w:r w:rsidRPr="009619C1">
        <w:rPr>
          <w:rFonts w:asciiTheme="minorEastAsia" w:eastAsiaTheme="minorEastAsia" w:hAnsiTheme="minorEastAsia"/>
          <w:szCs w:val="21"/>
        </w:rPr>
        <w:t>届董事会第</w:t>
      </w:r>
      <w:r w:rsidR="003A774B" w:rsidRPr="009619C1">
        <w:rPr>
          <w:rFonts w:asciiTheme="minorEastAsia" w:eastAsiaTheme="minorEastAsia" w:hAnsiTheme="minorEastAsia" w:hint="eastAsia"/>
          <w:szCs w:val="21"/>
        </w:rPr>
        <w:t>六</w:t>
      </w:r>
      <w:r w:rsidRPr="009619C1">
        <w:rPr>
          <w:rFonts w:asciiTheme="minorEastAsia" w:eastAsiaTheme="minorEastAsia" w:hAnsiTheme="minorEastAsia"/>
          <w:szCs w:val="21"/>
        </w:rPr>
        <w:t>次会议及第</w:t>
      </w:r>
      <w:r w:rsidR="003A774B" w:rsidRPr="009619C1">
        <w:rPr>
          <w:rFonts w:asciiTheme="minorEastAsia" w:eastAsiaTheme="minorEastAsia" w:hAnsiTheme="minorEastAsia" w:hint="eastAsia"/>
          <w:szCs w:val="21"/>
        </w:rPr>
        <w:t>七</w:t>
      </w:r>
      <w:r w:rsidRPr="009619C1">
        <w:rPr>
          <w:rFonts w:asciiTheme="minorEastAsia" w:eastAsiaTheme="minorEastAsia" w:hAnsiTheme="minorEastAsia"/>
          <w:szCs w:val="21"/>
        </w:rPr>
        <w:t>届监事会第</w:t>
      </w:r>
      <w:r w:rsidR="003A774B" w:rsidRPr="009619C1">
        <w:rPr>
          <w:rFonts w:asciiTheme="minorEastAsia" w:eastAsiaTheme="minorEastAsia" w:hAnsiTheme="minorEastAsia" w:hint="eastAsia"/>
          <w:szCs w:val="21"/>
        </w:rPr>
        <w:t>六</w:t>
      </w:r>
      <w:r w:rsidRPr="009619C1">
        <w:rPr>
          <w:rFonts w:asciiTheme="minorEastAsia" w:eastAsiaTheme="minorEastAsia" w:hAnsiTheme="minorEastAsia"/>
          <w:szCs w:val="21"/>
        </w:rPr>
        <w:t>次会议，审议通过了</w:t>
      </w:r>
      <w:r w:rsidRPr="009619C1">
        <w:rPr>
          <w:rFonts w:asciiTheme="minorEastAsia" w:eastAsiaTheme="minorEastAsia" w:hAnsiTheme="minorEastAsia" w:hint="eastAsia"/>
          <w:szCs w:val="21"/>
        </w:rPr>
        <w:t>《</w:t>
      </w:r>
      <w:r w:rsidR="00D064AA" w:rsidRPr="009619C1">
        <w:rPr>
          <w:rFonts w:asciiTheme="minorEastAsia" w:eastAsiaTheme="minorEastAsia" w:hAnsiTheme="minorEastAsia"/>
          <w:szCs w:val="21"/>
        </w:rPr>
        <w:t>2019</w:t>
      </w:r>
      <w:r w:rsidRPr="009619C1">
        <w:rPr>
          <w:rFonts w:asciiTheme="minorEastAsia" w:eastAsiaTheme="minorEastAsia" w:hAnsiTheme="minorEastAsia" w:hint="eastAsia"/>
          <w:szCs w:val="21"/>
        </w:rPr>
        <w:t>年度利润分配预案》</w:t>
      </w:r>
      <w:r w:rsidRPr="009619C1">
        <w:rPr>
          <w:rFonts w:asciiTheme="minorEastAsia" w:eastAsiaTheme="minorEastAsia" w:hAnsiTheme="minorEastAsia"/>
          <w:szCs w:val="21"/>
        </w:rPr>
        <w:t>，该议案尚需提交公司</w:t>
      </w:r>
      <w:r w:rsidR="00D064AA" w:rsidRPr="009619C1">
        <w:rPr>
          <w:rFonts w:asciiTheme="minorEastAsia" w:eastAsiaTheme="minorEastAsia" w:hAnsiTheme="minorEastAsia"/>
          <w:szCs w:val="21"/>
        </w:rPr>
        <w:t>2019</w:t>
      </w:r>
      <w:r w:rsidRPr="009619C1">
        <w:rPr>
          <w:rFonts w:asciiTheme="minorEastAsia" w:eastAsiaTheme="minorEastAsia" w:hAnsiTheme="minorEastAsia"/>
          <w:szCs w:val="21"/>
        </w:rPr>
        <w:t>年度股东大会审议，现将相关情况公告如下：</w:t>
      </w:r>
    </w:p>
    <w:p w14:paraId="0A72A81C" w14:textId="4FDC40EE" w:rsidR="008B0B9E" w:rsidRPr="009619C1" w:rsidRDefault="008B0B9E" w:rsidP="001038F5">
      <w:pPr>
        <w:adjustRightInd w:val="0"/>
        <w:snapToGrid w:val="0"/>
        <w:spacing w:beforeLines="100" w:before="316" w:line="360" w:lineRule="auto"/>
        <w:ind w:firstLineChars="200" w:firstLine="422"/>
        <w:rPr>
          <w:rFonts w:asciiTheme="minorEastAsia" w:eastAsiaTheme="minorEastAsia" w:hAnsiTheme="minorEastAsia"/>
          <w:b/>
          <w:szCs w:val="21"/>
        </w:rPr>
      </w:pPr>
      <w:r w:rsidRPr="009619C1">
        <w:rPr>
          <w:rFonts w:asciiTheme="minorEastAsia" w:eastAsiaTheme="minorEastAsia" w:hAnsiTheme="minorEastAsia" w:hint="eastAsia"/>
          <w:b/>
          <w:szCs w:val="21"/>
        </w:rPr>
        <w:t>一、</w:t>
      </w:r>
      <w:r w:rsidR="006F7296" w:rsidRPr="009619C1">
        <w:rPr>
          <w:rFonts w:asciiTheme="minorEastAsia" w:eastAsiaTheme="minorEastAsia" w:hAnsiTheme="minorEastAsia"/>
          <w:b/>
          <w:szCs w:val="21"/>
        </w:rPr>
        <w:t>2019</w:t>
      </w:r>
      <w:r w:rsidRPr="009619C1">
        <w:rPr>
          <w:rFonts w:asciiTheme="minorEastAsia" w:eastAsiaTheme="minorEastAsia" w:hAnsiTheme="minorEastAsia" w:hint="eastAsia"/>
          <w:b/>
          <w:szCs w:val="21"/>
        </w:rPr>
        <w:t>年利润分配预案</w:t>
      </w:r>
      <w:r w:rsidR="00314F19" w:rsidRPr="009619C1">
        <w:rPr>
          <w:rFonts w:asciiTheme="minorEastAsia" w:eastAsiaTheme="minorEastAsia" w:hAnsiTheme="minorEastAsia" w:hint="eastAsia"/>
          <w:b/>
          <w:szCs w:val="21"/>
        </w:rPr>
        <w:t>基本情况</w:t>
      </w:r>
    </w:p>
    <w:p w14:paraId="558028D1" w14:textId="33F682C2" w:rsidR="00706557" w:rsidRPr="009619C1" w:rsidRDefault="00706557" w:rsidP="00FF59C9">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sidRPr="009619C1">
        <w:rPr>
          <w:rFonts w:asciiTheme="minorEastAsia" w:eastAsiaTheme="minorEastAsia" w:hAnsiTheme="minorEastAsia" w:cs="宋体" w:hint="eastAsia"/>
          <w:szCs w:val="21"/>
        </w:rPr>
        <w:t>1、利润分配预案的主要内容</w:t>
      </w:r>
    </w:p>
    <w:p w14:paraId="4467F3B9" w14:textId="77777777" w:rsidR="00FF59C9" w:rsidRPr="009619C1" w:rsidRDefault="00FF59C9" w:rsidP="00FF59C9">
      <w:pPr>
        <w:widowControl/>
        <w:adjustRightInd w:val="0"/>
        <w:snapToGrid w:val="0"/>
        <w:spacing w:line="360" w:lineRule="auto"/>
        <w:ind w:firstLineChars="200" w:firstLine="420"/>
        <w:jc w:val="left"/>
        <w:rPr>
          <w:rFonts w:ascii="宋体" w:hAnsi="宋体"/>
          <w:szCs w:val="21"/>
        </w:rPr>
      </w:pPr>
      <w:r w:rsidRPr="009619C1">
        <w:rPr>
          <w:rFonts w:ascii="宋体" w:hAnsi="宋体" w:hint="eastAsia"/>
          <w:szCs w:val="21"/>
        </w:rPr>
        <w:t>根据</w:t>
      </w:r>
      <w:r w:rsidRPr="009619C1">
        <w:rPr>
          <w:rFonts w:ascii="宋体" w:hAnsi="宋体"/>
          <w:szCs w:val="21"/>
        </w:rPr>
        <w:t>中审华会计师事务所（特殊普通合伙）</w:t>
      </w:r>
      <w:r w:rsidRPr="009619C1">
        <w:rPr>
          <w:rFonts w:ascii="宋体" w:hAnsi="宋体" w:hint="eastAsia"/>
          <w:szCs w:val="21"/>
        </w:rPr>
        <w:t>出具的审计报告，确认</w:t>
      </w:r>
      <w:r w:rsidRPr="009619C1">
        <w:rPr>
          <w:rFonts w:ascii="宋体" w:hAnsi="宋体"/>
          <w:szCs w:val="21"/>
        </w:rPr>
        <w:t>2019</w:t>
      </w:r>
      <w:r w:rsidRPr="009619C1">
        <w:rPr>
          <w:rFonts w:ascii="宋体" w:hAnsi="宋体" w:hint="eastAsia"/>
          <w:szCs w:val="21"/>
        </w:rPr>
        <w:t>年度公司实现销售收入为</w:t>
      </w:r>
      <w:r w:rsidRPr="009619C1">
        <w:rPr>
          <w:rFonts w:ascii="宋体" w:hAnsi="宋体"/>
          <w:szCs w:val="21"/>
        </w:rPr>
        <w:t>5,748,057,618.60</w:t>
      </w:r>
      <w:r w:rsidRPr="009619C1">
        <w:rPr>
          <w:rFonts w:ascii="宋体" w:hAnsi="宋体" w:hint="eastAsia"/>
          <w:szCs w:val="21"/>
        </w:rPr>
        <w:t>元，归属于母公司所有者的净利润为</w:t>
      </w:r>
      <w:r w:rsidRPr="009619C1">
        <w:rPr>
          <w:rFonts w:ascii="宋体" w:hAnsi="宋体"/>
          <w:szCs w:val="21"/>
        </w:rPr>
        <w:t>747,765,364.19</w:t>
      </w:r>
      <w:r w:rsidRPr="009619C1">
        <w:rPr>
          <w:rFonts w:ascii="宋体" w:hAnsi="宋体" w:hint="eastAsia"/>
          <w:szCs w:val="21"/>
        </w:rPr>
        <w:t>元。根据《公司章程》规定，以</w:t>
      </w:r>
      <w:r w:rsidRPr="009619C1">
        <w:rPr>
          <w:rFonts w:ascii="宋体" w:hAnsi="宋体"/>
          <w:szCs w:val="21"/>
        </w:rPr>
        <w:t>2019</w:t>
      </w:r>
      <w:r w:rsidRPr="009619C1">
        <w:rPr>
          <w:rFonts w:ascii="宋体" w:hAnsi="宋体" w:hint="eastAsia"/>
          <w:szCs w:val="21"/>
        </w:rPr>
        <w:t>年度实现的母公司净利润</w:t>
      </w:r>
      <w:r w:rsidRPr="009619C1">
        <w:rPr>
          <w:rFonts w:ascii="宋体" w:hAnsi="宋体"/>
          <w:szCs w:val="21"/>
        </w:rPr>
        <w:t>590,870,655.41</w:t>
      </w:r>
      <w:r w:rsidRPr="009619C1">
        <w:rPr>
          <w:rFonts w:ascii="宋体" w:hAnsi="宋体" w:hint="eastAsia"/>
          <w:szCs w:val="21"/>
        </w:rPr>
        <w:t>元为基数，</w:t>
      </w:r>
      <w:r w:rsidRPr="009619C1">
        <w:rPr>
          <w:rFonts w:ascii="宋体" w:hAnsi="宋体"/>
          <w:szCs w:val="21"/>
        </w:rPr>
        <w:t>提取10%的法定盈余公积金计人民币59,087,065.54元，扣除当年分配上年分红258,013,925.40元，余下可供分配的净利润为273,769</w:t>
      </w:r>
      <w:r w:rsidRPr="009619C1">
        <w:rPr>
          <w:rFonts w:ascii="宋体" w:hAnsi="宋体" w:hint="eastAsia"/>
          <w:szCs w:val="21"/>
        </w:rPr>
        <w:t>，</w:t>
      </w:r>
      <w:r w:rsidRPr="009619C1">
        <w:rPr>
          <w:rFonts w:ascii="宋体" w:hAnsi="宋体"/>
          <w:szCs w:val="21"/>
        </w:rPr>
        <w:t>664.47元，加上上年度未分配利润1,085,566,591.54元，本年度可供分配利润</w:t>
      </w:r>
      <w:r w:rsidRPr="009619C1">
        <w:rPr>
          <w:rFonts w:ascii="宋体" w:hAnsi="宋体" w:hint="eastAsia"/>
          <w:szCs w:val="21"/>
        </w:rPr>
        <w:t>为</w:t>
      </w:r>
      <w:r w:rsidRPr="009619C1">
        <w:rPr>
          <w:rFonts w:ascii="宋体" w:hAnsi="宋体"/>
          <w:szCs w:val="21"/>
        </w:rPr>
        <w:t>1,359,336,256.01元。</w:t>
      </w:r>
    </w:p>
    <w:p w14:paraId="6463F3FB" w14:textId="401682E2" w:rsidR="004B2EA0" w:rsidRPr="009619C1" w:rsidRDefault="00C92204" w:rsidP="007B3016">
      <w:pPr>
        <w:autoSpaceDE w:val="0"/>
        <w:autoSpaceDN w:val="0"/>
        <w:adjustRightInd w:val="0"/>
        <w:snapToGrid w:val="0"/>
        <w:spacing w:line="360" w:lineRule="auto"/>
        <w:ind w:firstLineChars="200" w:firstLine="420"/>
        <w:jc w:val="left"/>
        <w:rPr>
          <w:rFonts w:ascii="宋体" w:hAnsi="宋体"/>
          <w:szCs w:val="21"/>
        </w:rPr>
      </w:pPr>
      <w:r w:rsidRPr="009619C1">
        <w:rPr>
          <w:rFonts w:ascii="宋体" w:hAnsi="宋体" w:hint="eastAsia"/>
          <w:szCs w:val="21"/>
        </w:rPr>
        <w:t>公司拟定</w:t>
      </w:r>
      <w:r w:rsidR="00D064AA" w:rsidRPr="009619C1">
        <w:rPr>
          <w:rFonts w:ascii="宋体" w:hAnsi="宋体"/>
          <w:szCs w:val="21"/>
        </w:rPr>
        <w:t>2019</w:t>
      </w:r>
      <w:r w:rsidRPr="009619C1">
        <w:rPr>
          <w:rFonts w:ascii="宋体" w:hAnsi="宋体" w:hint="eastAsia"/>
          <w:szCs w:val="21"/>
        </w:rPr>
        <w:t>年度利润分配预案如下：</w:t>
      </w:r>
    </w:p>
    <w:p w14:paraId="3AC67C87" w14:textId="4B4A4707" w:rsidR="00CD02E6" w:rsidRPr="009619C1" w:rsidRDefault="00A71AE3" w:rsidP="00A71AE3">
      <w:pPr>
        <w:autoSpaceDE w:val="0"/>
        <w:autoSpaceDN w:val="0"/>
        <w:adjustRightInd w:val="0"/>
        <w:snapToGrid w:val="0"/>
        <w:spacing w:line="360" w:lineRule="auto"/>
        <w:ind w:firstLineChars="200" w:firstLine="420"/>
        <w:jc w:val="left"/>
        <w:rPr>
          <w:rFonts w:ascii="宋体" w:hAnsi="宋体"/>
          <w:szCs w:val="21"/>
        </w:rPr>
      </w:pPr>
      <w:r w:rsidRPr="00A71AE3">
        <w:rPr>
          <w:rFonts w:ascii="宋体" w:hAnsi="宋体" w:hint="eastAsia"/>
          <w:szCs w:val="21"/>
        </w:rPr>
        <w:t>公司拟以截至</w:t>
      </w:r>
      <w:r w:rsidR="007A7CBD">
        <w:rPr>
          <w:rFonts w:ascii="宋体" w:hAnsi="宋体" w:hint="eastAsia"/>
          <w:szCs w:val="21"/>
        </w:rPr>
        <w:t>目前</w:t>
      </w:r>
      <w:r w:rsidRPr="00A71AE3">
        <w:rPr>
          <w:rFonts w:ascii="宋体" w:hAnsi="宋体" w:hint="eastAsia"/>
          <w:szCs w:val="21"/>
        </w:rPr>
        <w:t>总股本869,230,324股扣减回购专户持有股份21,576,706股后的股本847</w:t>
      </w:r>
      <w:r w:rsidR="00A96F2F">
        <w:rPr>
          <w:rFonts w:ascii="宋体" w:hAnsi="宋体" w:hint="eastAsia"/>
          <w:szCs w:val="21"/>
        </w:rPr>
        <w:t>,</w:t>
      </w:r>
      <w:r w:rsidRPr="00A71AE3">
        <w:rPr>
          <w:rFonts w:ascii="宋体" w:hAnsi="宋体" w:hint="eastAsia"/>
          <w:szCs w:val="21"/>
        </w:rPr>
        <w:t>653</w:t>
      </w:r>
      <w:r w:rsidR="00A96F2F">
        <w:rPr>
          <w:rFonts w:ascii="宋体" w:hAnsi="宋体" w:hint="eastAsia"/>
          <w:szCs w:val="21"/>
        </w:rPr>
        <w:t>,</w:t>
      </w:r>
      <w:r w:rsidRPr="00A71AE3">
        <w:rPr>
          <w:rFonts w:ascii="宋体" w:hAnsi="宋体" w:hint="eastAsia"/>
          <w:szCs w:val="21"/>
        </w:rPr>
        <w:t>618股为基数，每10股派发现金</w:t>
      </w:r>
      <w:bookmarkStart w:id="0" w:name="_GoBack"/>
      <w:bookmarkEnd w:id="0"/>
      <w:r w:rsidRPr="00A71AE3">
        <w:rPr>
          <w:rFonts w:ascii="宋体" w:hAnsi="宋体" w:hint="eastAsia"/>
          <w:szCs w:val="21"/>
        </w:rPr>
        <w:t>红利3.00元（含税），共计派发现金红利254,296,085.40元。剩余未分配利润滚存入下一年度。本次利润分配不送红股，不进行资本公积金转增股本。</w:t>
      </w:r>
    </w:p>
    <w:p w14:paraId="0A4B3E3B" w14:textId="6BC65D19" w:rsidR="003F45FB" w:rsidRPr="009619C1" w:rsidRDefault="003F45FB" w:rsidP="001038F5">
      <w:pPr>
        <w:autoSpaceDE w:val="0"/>
        <w:autoSpaceDN w:val="0"/>
        <w:adjustRightInd w:val="0"/>
        <w:snapToGrid w:val="0"/>
        <w:spacing w:line="360" w:lineRule="auto"/>
        <w:ind w:firstLineChars="200" w:firstLine="420"/>
        <w:rPr>
          <w:rFonts w:ascii="宋体" w:hAnsi="宋体"/>
          <w:szCs w:val="21"/>
        </w:rPr>
      </w:pPr>
      <w:r w:rsidRPr="009619C1">
        <w:rPr>
          <w:rFonts w:ascii="宋体" w:hAnsi="宋体" w:hint="eastAsia"/>
          <w:szCs w:val="21"/>
        </w:rPr>
        <w:t>若在分配预案实施前公司总股本由于可转</w:t>
      </w:r>
      <w:r w:rsidR="005B0E95" w:rsidRPr="009619C1">
        <w:rPr>
          <w:rFonts w:ascii="宋体" w:hAnsi="宋体" w:hint="eastAsia"/>
          <w:szCs w:val="21"/>
        </w:rPr>
        <w:t>债、股份回购、股权激励行权、再融资新增股份上市等原因发生变化的，则以未来实施本次分配方案时股权登记日的公司总股本扣除当时公司回购专户上已回购股份后的股本为基数进行利润分配，分配比例保持不变。</w:t>
      </w:r>
    </w:p>
    <w:p w14:paraId="612AD41B" w14:textId="77777777" w:rsidR="00A96F2F" w:rsidRDefault="00A96F2F"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p>
    <w:p w14:paraId="314936AB" w14:textId="5715249F" w:rsidR="000B3036" w:rsidRPr="009619C1" w:rsidRDefault="000B3036"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hint="eastAsia"/>
          <w:kern w:val="2"/>
          <w:sz w:val="21"/>
          <w:szCs w:val="21"/>
        </w:rPr>
        <w:lastRenderedPageBreak/>
        <w:t>2、</w:t>
      </w:r>
      <w:r w:rsidRPr="009619C1">
        <w:rPr>
          <w:rFonts w:asciiTheme="minorEastAsia" w:eastAsiaTheme="minorEastAsia" w:hAnsiTheme="minorEastAsia" w:cs="宋体"/>
          <w:kern w:val="2"/>
          <w:sz w:val="21"/>
          <w:szCs w:val="21"/>
        </w:rPr>
        <w:t>利润分配预案的合法性、合</w:t>
      </w:r>
      <w:proofErr w:type="gramStart"/>
      <w:r w:rsidRPr="009619C1">
        <w:rPr>
          <w:rFonts w:asciiTheme="minorEastAsia" w:eastAsiaTheme="minorEastAsia" w:hAnsiTheme="minorEastAsia" w:cs="宋体"/>
          <w:kern w:val="2"/>
          <w:sz w:val="21"/>
          <w:szCs w:val="21"/>
        </w:rPr>
        <w:t>规</w:t>
      </w:r>
      <w:proofErr w:type="gramEnd"/>
      <w:r w:rsidRPr="009619C1">
        <w:rPr>
          <w:rFonts w:asciiTheme="minorEastAsia" w:eastAsiaTheme="minorEastAsia" w:hAnsiTheme="minorEastAsia" w:cs="宋体"/>
          <w:kern w:val="2"/>
          <w:sz w:val="21"/>
          <w:szCs w:val="21"/>
        </w:rPr>
        <w:t xml:space="preserve">性 </w:t>
      </w:r>
    </w:p>
    <w:p w14:paraId="78DDBB02" w14:textId="3AA2F620" w:rsidR="000B3036" w:rsidRPr="009619C1" w:rsidRDefault="00C92204"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hint="eastAsia"/>
          <w:kern w:val="2"/>
          <w:sz w:val="21"/>
          <w:szCs w:val="21"/>
        </w:rPr>
        <w:t>本次利润分配预案，严格遵循了证券监管机构关于利润分配的规定以及《公司章程》的要求，并符合公司股东大会批准的</w:t>
      </w:r>
      <w:r w:rsidR="000A76B4" w:rsidRPr="009619C1">
        <w:rPr>
          <w:rFonts w:asciiTheme="minorEastAsia" w:eastAsiaTheme="minorEastAsia" w:hAnsiTheme="minorEastAsia" w:cs="宋体" w:hint="eastAsia"/>
          <w:kern w:val="2"/>
          <w:sz w:val="21"/>
          <w:szCs w:val="21"/>
        </w:rPr>
        <w:t>《</w:t>
      </w:r>
      <w:r w:rsidRPr="009619C1">
        <w:rPr>
          <w:rFonts w:asciiTheme="minorEastAsia" w:eastAsiaTheme="minorEastAsia" w:hAnsiTheme="minorEastAsia" w:cs="宋体" w:hint="eastAsia"/>
          <w:kern w:val="2"/>
          <w:sz w:val="21"/>
          <w:szCs w:val="21"/>
        </w:rPr>
        <w:t>公司未来三年股东回报规划（</w:t>
      </w:r>
      <w:r w:rsidR="00AB62E4" w:rsidRPr="009619C1">
        <w:rPr>
          <w:rFonts w:asciiTheme="minorEastAsia" w:eastAsiaTheme="minorEastAsia" w:hAnsiTheme="minorEastAsia" w:cs="宋体" w:hint="eastAsia"/>
          <w:kern w:val="2"/>
          <w:sz w:val="21"/>
          <w:szCs w:val="21"/>
        </w:rPr>
        <w:t>20</w:t>
      </w:r>
      <w:r w:rsidR="00EF5494" w:rsidRPr="009619C1">
        <w:rPr>
          <w:rFonts w:asciiTheme="minorEastAsia" w:eastAsiaTheme="minorEastAsia" w:hAnsiTheme="minorEastAsia" w:cs="宋体"/>
          <w:kern w:val="2"/>
          <w:sz w:val="21"/>
          <w:szCs w:val="21"/>
        </w:rPr>
        <w:t>19</w:t>
      </w:r>
      <w:r w:rsidRPr="009619C1">
        <w:rPr>
          <w:rFonts w:asciiTheme="minorEastAsia" w:eastAsiaTheme="minorEastAsia" w:hAnsiTheme="minorEastAsia" w:cs="宋体" w:hint="eastAsia"/>
          <w:kern w:val="2"/>
          <w:sz w:val="21"/>
          <w:szCs w:val="21"/>
        </w:rPr>
        <w:t>年-</w:t>
      </w:r>
      <w:r w:rsidR="00AB62E4" w:rsidRPr="009619C1">
        <w:rPr>
          <w:rFonts w:asciiTheme="minorEastAsia" w:eastAsiaTheme="minorEastAsia" w:hAnsiTheme="minorEastAsia" w:cs="宋体" w:hint="eastAsia"/>
          <w:kern w:val="2"/>
          <w:sz w:val="21"/>
          <w:szCs w:val="21"/>
        </w:rPr>
        <w:t>20</w:t>
      </w:r>
      <w:r w:rsidR="00EF5494" w:rsidRPr="009619C1">
        <w:rPr>
          <w:rFonts w:asciiTheme="minorEastAsia" w:eastAsiaTheme="minorEastAsia" w:hAnsiTheme="minorEastAsia" w:cs="宋体"/>
          <w:kern w:val="2"/>
          <w:sz w:val="21"/>
          <w:szCs w:val="21"/>
        </w:rPr>
        <w:t>21</w:t>
      </w:r>
      <w:r w:rsidRPr="009619C1">
        <w:rPr>
          <w:rFonts w:asciiTheme="minorEastAsia" w:eastAsiaTheme="minorEastAsia" w:hAnsiTheme="minorEastAsia" w:cs="宋体" w:hint="eastAsia"/>
          <w:kern w:val="2"/>
          <w:sz w:val="21"/>
          <w:szCs w:val="21"/>
        </w:rPr>
        <w:t>年）</w:t>
      </w:r>
      <w:r w:rsidR="000A76B4" w:rsidRPr="009619C1">
        <w:rPr>
          <w:rFonts w:asciiTheme="minorEastAsia" w:eastAsiaTheme="minorEastAsia" w:hAnsiTheme="minorEastAsia" w:cs="宋体" w:hint="eastAsia"/>
          <w:kern w:val="2"/>
          <w:sz w:val="21"/>
          <w:szCs w:val="21"/>
        </w:rPr>
        <w:t>》</w:t>
      </w:r>
      <w:r w:rsidRPr="009619C1">
        <w:rPr>
          <w:rFonts w:asciiTheme="minorEastAsia" w:eastAsiaTheme="minorEastAsia" w:hAnsiTheme="minorEastAsia" w:cs="宋体" w:hint="eastAsia"/>
          <w:kern w:val="2"/>
          <w:sz w:val="21"/>
          <w:szCs w:val="21"/>
        </w:rPr>
        <w:t>的规定，</w:t>
      </w:r>
      <w:r w:rsidR="000B3036" w:rsidRPr="009619C1">
        <w:rPr>
          <w:rFonts w:asciiTheme="minorEastAsia" w:eastAsiaTheme="minorEastAsia" w:hAnsiTheme="minorEastAsia" w:cs="宋体"/>
          <w:kern w:val="2"/>
          <w:sz w:val="21"/>
          <w:szCs w:val="21"/>
        </w:rPr>
        <w:t xml:space="preserve">具备合法性、合规性。 </w:t>
      </w:r>
    </w:p>
    <w:p w14:paraId="5E87F8A4" w14:textId="07676B0F" w:rsidR="000B3036" w:rsidRPr="009619C1" w:rsidRDefault="000B3036"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hint="eastAsia"/>
          <w:kern w:val="2"/>
          <w:sz w:val="21"/>
          <w:szCs w:val="21"/>
        </w:rPr>
        <w:t>3、</w:t>
      </w:r>
      <w:r w:rsidRPr="009619C1">
        <w:rPr>
          <w:rFonts w:asciiTheme="minorEastAsia" w:eastAsiaTheme="minorEastAsia" w:hAnsiTheme="minorEastAsia" w:cs="宋体"/>
          <w:kern w:val="2"/>
          <w:sz w:val="21"/>
          <w:szCs w:val="21"/>
        </w:rPr>
        <w:t xml:space="preserve">利润分配预案与公司成长性的匹配性 </w:t>
      </w:r>
    </w:p>
    <w:p w14:paraId="215A9F58" w14:textId="17F41DF8" w:rsidR="000B3036" w:rsidRPr="009619C1" w:rsidRDefault="000B3036"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kern w:val="2"/>
          <w:sz w:val="21"/>
          <w:szCs w:val="21"/>
        </w:rPr>
        <w:t xml:space="preserve">基于公司实际情况和结合公司未来的发展前景和战略规划，在保证公司正常经营和长远发展的前提下，提出了本次利润分配的预案。该分配预案兼顾了公司股东的当期利益和长期利益，充分考虑了广大投资者的合理诉求，与公司经营业绩及未来发展相匹配，符合公司的发展规划。 </w:t>
      </w:r>
    </w:p>
    <w:p w14:paraId="12062360" w14:textId="77777777" w:rsidR="008B0B9E" w:rsidRPr="009619C1" w:rsidRDefault="008B0B9E" w:rsidP="001038F5">
      <w:pPr>
        <w:adjustRightInd w:val="0"/>
        <w:snapToGrid w:val="0"/>
        <w:spacing w:beforeLines="100" w:before="316" w:line="360" w:lineRule="auto"/>
        <w:ind w:firstLineChars="200" w:firstLine="422"/>
        <w:rPr>
          <w:rFonts w:asciiTheme="minorEastAsia" w:eastAsiaTheme="minorEastAsia" w:hAnsiTheme="minorEastAsia"/>
          <w:b/>
          <w:szCs w:val="21"/>
        </w:rPr>
      </w:pPr>
      <w:r w:rsidRPr="009619C1">
        <w:rPr>
          <w:rFonts w:asciiTheme="minorEastAsia" w:eastAsiaTheme="minorEastAsia" w:hAnsiTheme="minorEastAsia" w:hint="eastAsia"/>
          <w:b/>
          <w:szCs w:val="21"/>
        </w:rPr>
        <w:t>二、</w:t>
      </w:r>
      <w:r w:rsidR="00314F19" w:rsidRPr="009619C1">
        <w:rPr>
          <w:rFonts w:asciiTheme="minorEastAsia" w:eastAsiaTheme="minorEastAsia" w:hAnsiTheme="minorEastAsia" w:hint="eastAsia"/>
          <w:b/>
          <w:szCs w:val="21"/>
        </w:rPr>
        <w:t>相关审批程序及意见</w:t>
      </w:r>
    </w:p>
    <w:p w14:paraId="1087D49F" w14:textId="77777777" w:rsidR="00314F19" w:rsidRPr="009619C1" w:rsidRDefault="00314F19" w:rsidP="001038F5">
      <w:pPr>
        <w:pStyle w:val="Default"/>
        <w:snapToGrid w:val="0"/>
        <w:spacing w:line="360" w:lineRule="auto"/>
        <w:ind w:firstLineChars="200" w:firstLine="420"/>
        <w:rPr>
          <w:rFonts w:asciiTheme="minorEastAsia" w:eastAsiaTheme="minorEastAsia" w:hAnsiTheme="minorEastAsia"/>
          <w:color w:val="auto"/>
          <w:kern w:val="2"/>
          <w:sz w:val="21"/>
          <w:szCs w:val="21"/>
        </w:rPr>
      </w:pPr>
      <w:r w:rsidRPr="009619C1">
        <w:rPr>
          <w:rFonts w:asciiTheme="minorEastAsia" w:eastAsiaTheme="minorEastAsia" w:hAnsiTheme="minorEastAsia"/>
          <w:color w:val="auto"/>
          <w:kern w:val="2"/>
          <w:sz w:val="21"/>
          <w:szCs w:val="21"/>
        </w:rPr>
        <w:t>1、董事会审议情况</w:t>
      </w:r>
    </w:p>
    <w:p w14:paraId="45F49AD3" w14:textId="54892043" w:rsidR="0022416A" w:rsidRPr="009619C1" w:rsidRDefault="00314F19" w:rsidP="001038F5">
      <w:pPr>
        <w:autoSpaceDE w:val="0"/>
        <w:autoSpaceDN w:val="0"/>
        <w:adjustRightInd w:val="0"/>
        <w:snapToGrid w:val="0"/>
        <w:spacing w:line="360" w:lineRule="auto"/>
        <w:ind w:firstLineChars="200" w:firstLine="420"/>
        <w:rPr>
          <w:rFonts w:asciiTheme="minorEastAsia" w:eastAsiaTheme="minorEastAsia" w:hAnsiTheme="minorEastAsia" w:cs="宋体"/>
          <w:szCs w:val="21"/>
        </w:rPr>
      </w:pPr>
      <w:r w:rsidRPr="009619C1">
        <w:rPr>
          <w:rFonts w:asciiTheme="minorEastAsia" w:eastAsiaTheme="minorEastAsia" w:hAnsiTheme="minorEastAsia"/>
          <w:szCs w:val="21"/>
        </w:rPr>
        <w:t>公司第</w:t>
      </w:r>
      <w:r w:rsidR="00FD73EA" w:rsidRPr="009619C1">
        <w:rPr>
          <w:rFonts w:asciiTheme="minorEastAsia" w:eastAsiaTheme="minorEastAsia" w:hAnsiTheme="minorEastAsia" w:hint="eastAsia"/>
          <w:szCs w:val="21"/>
        </w:rPr>
        <w:t>七</w:t>
      </w:r>
      <w:r w:rsidRPr="009619C1">
        <w:rPr>
          <w:rFonts w:asciiTheme="minorEastAsia" w:eastAsiaTheme="minorEastAsia" w:hAnsiTheme="minorEastAsia"/>
          <w:szCs w:val="21"/>
        </w:rPr>
        <w:t>届董事会第</w:t>
      </w:r>
      <w:r w:rsidR="00FD73EA" w:rsidRPr="009619C1">
        <w:rPr>
          <w:rFonts w:asciiTheme="minorEastAsia" w:eastAsiaTheme="minorEastAsia" w:hAnsiTheme="minorEastAsia" w:hint="eastAsia"/>
          <w:szCs w:val="21"/>
        </w:rPr>
        <w:t>六</w:t>
      </w:r>
      <w:r w:rsidRPr="009619C1">
        <w:rPr>
          <w:rFonts w:asciiTheme="minorEastAsia" w:eastAsiaTheme="minorEastAsia" w:hAnsiTheme="minorEastAsia"/>
          <w:szCs w:val="21"/>
        </w:rPr>
        <w:t>次会议审议通过了公司《</w:t>
      </w:r>
      <w:r w:rsidR="00FD73EA" w:rsidRPr="009619C1">
        <w:rPr>
          <w:rFonts w:asciiTheme="minorEastAsia" w:eastAsiaTheme="minorEastAsia" w:hAnsiTheme="minorEastAsia"/>
          <w:szCs w:val="21"/>
        </w:rPr>
        <w:t>2019</w:t>
      </w:r>
      <w:r w:rsidRPr="009619C1">
        <w:rPr>
          <w:rFonts w:asciiTheme="minorEastAsia" w:eastAsiaTheme="minorEastAsia" w:hAnsiTheme="minorEastAsia"/>
          <w:szCs w:val="21"/>
        </w:rPr>
        <w:t>年度利润分配预案》，经审议，公司董事会认为公司《</w:t>
      </w:r>
      <w:r w:rsidR="00FD73EA" w:rsidRPr="009619C1">
        <w:rPr>
          <w:rFonts w:asciiTheme="minorEastAsia" w:eastAsiaTheme="minorEastAsia" w:hAnsiTheme="minorEastAsia"/>
          <w:szCs w:val="21"/>
        </w:rPr>
        <w:t>2019</w:t>
      </w:r>
      <w:r w:rsidRPr="009619C1">
        <w:rPr>
          <w:rFonts w:asciiTheme="minorEastAsia" w:eastAsiaTheme="minorEastAsia" w:hAnsiTheme="minorEastAsia"/>
          <w:szCs w:val="21"/>
        </w:rPr>
        <w:t>年度利润分配预案》</w:t>
      </w:r>
      <w:r w:rsidR="0022416A" w:rsidRPr="009619C1">
        <w:rPr>
          <w:rFonts w:asciiTheme="minorEastAsia" w:eastAsiaTheme="minorEastAsia" w:hAnsiTheme="minorEastAsia" w:cs="宋体" w:hint="eastAsia"/>
          <w:szCs w:val="21"/>
        </w:rPr>
        <w:t>，严格遵循了证券监管机构关于利润分配的规定以及《公司章程》的要求，并符合公司股东大会批准的《公司未来三年股东回报规划（</w:t>
      </w:r>
      <w:r w:rsidR="001A4E69" w:rsidRPr="009619C1">
        <w:rPr>
          <w:rFonts w:asciiTheme="minorEastAsia" w:eastAsiaTheme="minorEastAsia" w:hAnsiTheme="minorEastAsia" w:cs="宋体"/>
          <w:szCs w:val="21"/>
        </w:rPr>
        <w:t>2019</w:t>
      </w:r>
      <w:r w:rsidR="0022416A" w:rsidRPr="009619C1">
        <w:rPr>
          <w:rFonts w:asciiTheme="minorEastAsia" w:eastAsiaTheme="minorEastAsia" w:hAnsiTheme="minorEastAsia" w:cs="宋体" w:hint="eastAsia"/>
          <w:szCs w:val="21"/>
        </w:rPr>
        <w:t>年-</w:t>
      </w:r>
      <w:r w:rsidR="001A4E69" w:rsidRPr="009619C1">
        <w:rPr>
          <w:rFonts w:asciiTheme="minorEastAsia" w:eastAsiaTheme="minorEastAsia" w:hAnsiTheme="minorEastAsia" w:cs="宋体"/>
          <w:szCs w:val="21"/>
        </w:rPr>
        <w:t>2021</w:t>
      </w:r>
      <w:r w:rsidR="0022416A" w:rsidRPr="009619C1">
        <w:rPr>
          <w:rFonts w:asciiTheme="minorEastAsia" w:eastAsiaTheme="minorEastAsia" w:hAnsiTheme="minorEastAsia" w:cs="宋体" w:hint="eastAsia"/>
          <w:szCs w:val="21"/>
        </w:rPr>
        <w:t>年）》的规定，符合公司经营实际情况。</w:t>
      </w:r>
    </w:p>
    <w:p w14:paraId="53E459EE" w14:textId="5DFFF8B6" w:rsidR="0022416A" w:rsidRPr="009619C1" w:rsidRDefault="00314F19" w:rsidP="001038F5">
      <w:pPr>
        <w:pStyle w:val="Default"/>
        <w:snapToGrid w:val="0"/>
        <w:spacing w:line="360" w:lineRule="auto"/>
        <w:ind w:firstLineChars="200" w:firstLine="420"/>
        <w:rPr>
          <w:rFonts w:asciiTheme="minorEastAsia" w:eastAsiaTheme="minorEastAsia" w:hAnsiTheme="minorEastAsia"/>
          <w:color w:val="auto"/>
          <w:kern w:val="2"/>
          <w:sz w:val="21"/>
          <w:szCs w:val="21"/>
        </w:rPr>
      </w:pPr>
      <w:r w:rsidRPr="009619C1">
        <w:rPr>
          <w:rFonts w:asciiTheme="minorEastAsia" w:eastAsiaTheme="minorEastAsia" w:hAnsiTheme="minorEastAsia"/>
          <w:color w:val="auto"/>
          <w:kern w:val="2"/>
          <w:sz w:val="21"/>
          <w:szCs w:val="21"/>
        </w:rPr>
        <w:t>经审议，董事会成员一致同意《</w:t>
      </w:r>
      <w:r w:rsidR="00FD73EA" w:rsidRPr="009619C1">
        <w:rPr>
          <w:rFonts w:asciiTheme="minorEastAsia" w:eastAsiaTheme="minorEastAsia" w:hAnsiTheme="minorEastAsia"/>
          <w:color w:val="auto"/>
          <w:kern w:val="2"/>
          <w:sz w:val="21"/>
          <w:szCs w:val="21"/>
        </w:rPr>
        <w:t>2019</w:t>
      </w:r>
      <w:r w:rsidRPr="009619C1">
        <w:rPr>
          <w:rFonts w:asciiTheme="minorEastAsia" w:eastAsiaTheme="minorEastAsia" w:hAnsiTheme="minorEastAsia"/>
          <w:color w:val="auto"/>
          <w:kern w:val="2"/>
          <w:sz w:val="21"/>
          <w:szCs w:val="21"/>
        </w:rPr>
        <w:t>年度利润分配预案》， 同意将该议案提交</w:t>
      </w:r>
      <w:r w:rsidR="00FD73EA" w:rsidRPr="009619C1">
        <w:rPr>
          <w:rFonts w:asciiTheme="minorEastAsia" w:eastAsiaTheme="minorEastAsia" w:hAnsiTheme="minorEastAsia"/>
          <w:color w:val="auto"/>
          <w:kern w:val="2"/>
          <w:sz w:val="21"/>
          <w:szCs w:val="21"/>
        </w:rPr>
        <w:t>2019</w:t>
      </w:r>
      <w:r w:rsidRPr="009619C1">
        <w:rPr>
          <w:rFonts w:asciiTheme="minorEastAsia" w:eastAsiaTheme="minorEastAsia" w:hAnsiTheme="minorEastAsia"/>
          <w:color w:val="auto"/>
          <w:kern w:val="2"/>
          <w:sz w:val="21"/>
          <w:szCs w:val="21"/>
        </w:rPr>
        <w:t xml:space="preserve">年度股东大会审议。 </w:t>
      </w:r>
    </w:p>
    <w:p w14:paraId="7A5AF206" w14:textId="77777777" w:rsidR="00A15358" w:rsidRPr="009619C1" w:rsidRDefault="00314F19" w:rsidP="001038F5">
      <w:pPr>
        <w:pStyle w:val="Default"/>
        <w:snapToGrid w:val="0"/>
        <w:spacing w:line="360" w:lineRule="auto"/>
        <w:ind w:firstLineChars="200" w:firstLine="420"/>
        <w:rPr>
          <w:rFonts w:asciiTheme="minorEastAsia" w:eastAsiaTheme="minorEastAsia" w:hAnsiTheme="minorEastAsia"/>
          <w:color w:val="auto"/>
          <w:kern w:val="2"/>
          <w:sz w:val="21"/>
          <w:szCs w:val="21"/>
        </w:rPr>
      </w:pPr>
      <w:r w:rsidRPr="009619C1">
        <w:rPr>
          <w:rFonts w:asciiTheme="minorEastAsia" w:eastAsiaTheme="minorEastAsia" w:hAnsiTheme="minorEastAsia"/>
          <w:color w:val="auto"/>
          <w:kern w:val="2"/>
          <w:sz w:val="21"/>
          <w:szCs w:val="21"/>
        </w:rPr>
        <w:t>2、独立董事意见</w:t>
      </w:r>
    </w:p>
    <w:p w14:paraId="0E03C5F8" w14:textId="7F699FC6" w:rsidR="00A15358" w:rsidRPr="009619C1" w:rsidRDefault="00EB0A36" w:rsidP="001038F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9619C1">
        <w:rPr>
          <w:rFonts w:asciiTheme="minorEastAsia" w:eastAsiaTheme="minorEastAsia" w:hAnsiTheme="minorEastAsia" w:hint="eastAsia"/>
          <w:szCs w:val="21"/>
        </w:rPr>
        <w:t>公司</w:t>
      </w:r>
      <w:r w:rsidRPr="009619C1">
        <w:rPr>
          <w:rFonts w:asciiTheme="minorEastAsia" w:eastAsiaTheme="minorEastAsia" w:hAnsiTheme="minorEastAsia"/>
          <w:szCs w:val="21"/>
        </w:rPr>
        <w:t>独立董事认为</w:t>
      </w:r>
      <w:r w:rsidR="00FD73EA" w:rsidRPr="009619C1">
        <w:rPr>
          <w:rFonts w:asciiTheme="minorEastAsia" w:eastAsiaTheme="minorEastAsia" w:hAnsiTheme="minorEastAsia" w:hint="eastAsia"/>
          <w:szCs w:val="21"/>
        </w:rPr>
        <w:t>：</w:t>
      </w:r>
      <w:r w:rsidR="00A15358" w:rsidRPr="009619C1">
        <w:rPr>
          <w:rFonts w:asciiTheme="minorEastAsia" w:eastAsiaTheme="minorEastAsia" w:hAnsiTheme="minorEastAsia"/>
          <w:szCs w:val="21"/>
        </w:rPr>
        <w:t>《</w:t>
      </w:r>
      <w:r w:rsidR="00FD73EA" w:rsidRPr="009619C1">
        <w:rPr>
          <w:rFonts w:asciiTheme="minorEastAsia" w:eastAsiaTheme="minorEastAsia" w:hAnsiTheme="minorEastAsia"/>
          <w:szCs w:val="21"/>
        </w:rPr>
        <w:t>2019</w:t>
      </w:r>
      <w:r w:rsidR="00A15358" w:rsidRPr="009619C1">
        <w:rPr>
          <w:rFonts w:asciiTheme="minorEastAsia" w:eastAsiaTheme="minorEastAsia" w:hAnsiTheme="minorEastAsia"/>
          <w:szCs w:val="21"/>
        </w:rPr>
        <w:t>年度利润分配预案》是依据公司的实际情况制订的，符合《公司章程》确定的现金分红政策以及股东大会审批的《</w:t>
      </w:r>
      <w:r w:rsidRPr="009619C1">
        <w:rPr>
          <w:rFonts w:asciiTheme="minorEastAsia" w:eastAsiaTheme="minorEastAsia" w:hAnsiTheme="minorEastAsia" w:hint="eastAsia"/>
          <w:szCs w:val="21"/>
        </w:rPr>
        <w:t>公司</w:t>
      </w:r>
      <w:r w:rsidR="00A15358" w:rsidRPr="009619C1">
        <w:rPr>
          <w:rFonts w:asciiTheme="minorEastAsia" w:eastAsiaTheme="minorEastAsia" w:hAnsiTheme="minorEastAsia"/>
          <w:szCs w:val="21"/>
        </w:rPr>
        <w:t>未来三年股东回报规划（</w:t>
      </w:r>
      <w:r w:rsidR="0076272E" w:rsidRPr="009619C1">
        <w:rPr>
          <w:rFonts w:asciiTheme="minorEastAsia" w:eastAsiaTheme="minorEastAsia" w:hAnsiTheme="minorEastAsia"/>
          <w:szCs w:val="21"/>
        </w:rPr>
        <w:t>2019</w:t>
      </w:r>
      <w:r w:rsidR="00A15358" w:rsidRPr="009619C1">
        <w:rPr>
          <w:rFonts w:asciiTheme="minorEastAsia" w:eastAsiaTheme="minorEastAsia" w:hAnsiTheme="minorEastAsia"/>
          <w:szCs w:val="21"/>
        </w:rPr>
        <w:t>年-</w:t>
      </w:r>
      <w:r w:rsidR="0076272E" w:rsidRPr="009619C1">
        <w:rPr>
          <w:rFonts w:asciiTheme="minorEastAsia" w:eastAsiaTheme="minorEastAsia" w:hAnsiTheme="minorEastAsia"/>
          <w:szCs w:val="21"/>
        </w:rPr>
        <w:t>2021</w:t>
      </w:r>
      <w:r w:rsidR="00A15358" w:rsidRPr="009619C1">
        <w:rPr>
          <w:rFonts w:asciiTheme="minorEastAsia" w:eastAsiaTheme="minorEastAsia" w:hAnsiTheme="minorEastAsia"/>
          <w:szCs w:val="21"/>
        </w:rPr>
        <w:t>年）》。该方案有利于公司长远发展，不存在损害公司和股东利益的情况。因此，同意</w:t>
      </w:r>
      <w:r w:rsidR="00AE47FE" w:rsidRPr="009619C1">
        <w:rPr>
          <w:rFonts w:asciiTheme="minorEastAsia" w:eastAsiaTheme="minorEastAsia" w:hAnsiTheme="minorEastAsia" w:hint="eastAsia"/>
          <w:szCs w:val="21"/>
        </w:rPr>
        <w:t>该</w:t>
      </w:r>
      <w:r w:rsidR="00AE47FE" w:rsidRPr="009619C1">
        <w:rPr>
          <w:rFonts w:asciiTheme="minorEastAsia" w:eastAsiaTheme="minorEastAsia" w:hAnsiTheme="minorEastAsia"/>
          <w:szCs w:val="21"/>
        </w:rPr>
        <w:t>议案在</w:t>
      </w:r>
      <w:r w:rsidR="00A15358" w:rsidRPr="009619C1">
        <w:rPr>
          <w:rFonts w:asciiTheme="minorEastAsia" w:eastAsiaTheme="minorEastAsia" w:hAnsiTheme="minorEastAsia"/>
          <w:szCs w:val="21"/>
        </w:rPr>
        <w:t>公司第</w:t>
      </w:r>
      <w:r w:rsidR="009B684E" w:rsidRPr="009619C1">
        <w:rPr>
          <w:rFonts w:asciiTheme="minorEastAsia" w:eastAsiaTheme="minorEastAsia" w:hAnsiTheme="minorEastAsia" w:hint="eastAsia"/>
          <w:szCs w:val="21"/>
        </w:rPr>
        <w:t>七</w:t>
      </w:r>
      <w:r w:rsidR="00A15358" w:rsidRPr="009619C1">
        <w:rPr>
          <w:rFonts w:asciiTheme="minorEastAsia" w:eastAsiaTheme="minorEastAsia" w:hAnsiTheme="minorEastAsia"/>
          <w:szCs w:val="21"/>
        </w:rPr>
        <w:t>届董事会第</w:t>
      </w:r>
      <w:r w:rsidR="009B684E" w:rsidRPr="009619C1">
        <w:rPr>
          <w:rFonts w:asciiTheme="minorEastAsia" w:eastAsiaTheme="minorEastAsia" w:hAnsiTheme="minorEastAsia" w:hint="eastAsia"/>
          <w:szCs w:val="21"/>
        </w:rPr>
        <w:t>六</w:t>
      </w:r>
      <w:r w:rsidR="00A15358" w:rsidRPr="009619C1">
        <w:rPr>
          <w:rFonts w:asciiTheme="minorEastAsia" w:eastAsiaTheme="minorEastAsia" w:hAnsiTheme="minorEastAsia"/>
          <w:szCs w:val="21"/>
        </w:rPr>
        <w:t>次</w:t>
      </w:r>
      <w:r w:rsidR="004735C8" w:rsidRPr="009619C1">
        <w:rPr>
          <w:rFonts w:asciiTheme="minorEastAsia" w:eastAsiaTheme="minorEastAsia" w:hAnsiTheme="minorEastAsia" w:hint="eastAsia"/>
          <w:szCs w:val="21"/>
        </w:rPr>
        <w:t>会议</w:t>
      </w:r>
      <w:r w:rsidR="00A15358" w:rsidRPr="009619C1">
        <w:rPr>
          <w:rFonts w:asciiTheme="minorEastAsia" w:eastAsiaTheme="minorEastAsia" w:hAnsiTheme="minorEastAsia"/>
          <w:szCs w:val="21"/>
        </w:rPr>
        <w:t>审议通过后，提交股东大会审议。</w:t>
      </w:r>
      <w:r w:rsidR="00314F19" w:rsidRPr="009619C1">
        <w:rPr>
          <w:rFonts w:asciiTheme="minorEastAsia" w:eastAsiaTheme="minorEastAsia" w:hAnsiTheme="minorEastAsia"/>
          <w:szCs w:val="21"/>
        </w:rPr>
        <w:t xml:space="preserve"> </w:t>
      </w:r>
    </w:p>
    <w:p w14:paraId="41CE8340" w14:textId="77777777" w:rsidR="00A15358" w:rsidRPr="009619C1" w:rsidRDefault="00314F19" w:rsidP="001038F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9619C1">
        <w:rPr>
          <w:rFonts w:asciiTheme="minorEastAsia" w:eastAsiaTheme="minorEastAsia" w:hAnsiTheme="minorEastAsia"/>
          <w:szCs w:val="21"/>
        </w:rPr>
        <w:t xml:space="preserve">3、监事会意见 </w:t>
      </w:r>
    </w:p>
    <w:p w14:paraId="2A8E0505" w14:textId="157FECCE" w:rsidR="00504FC2" w:rsidRPr="009619C1" w:rsidRDefault="00314F19" w:rsidP="001038F5">
      <w:pPr>
        <w:autoSpaceDE w:val="0"/>
        <w:autoSpaceDN w:val="0"/>
        <w:adjustRightInd w:val="0"/>
        <w:snapToGrid w:val="0"/>
        <w:spacing w:line="360" w:lineRule="auto"/>
        <w:ind w:firstLineChars="200" w:firstLine="420"/>
        <w:rPr>
          <w:rFonts w:asciiTheme="minorEastAsia" w:eastAsiaTheme="minorEastAsia" w:hAnsiTheme="minorEastAsia"/>
          <w:szCs w:val="21"/>
        </w:rPr>
      </w:pPr>
      <w:r w:rsidRPr="009619C1">
        <w:rPr>
          <w:rFonts w:asciiTheme="minorEastAsia" w:eastAsiaTheme="minorEastAsia" w:hAnsiTheme="minorEastAsia"/>
          <w:szCs w:val="21"/>
        </w:rPr>
        <w:t>监事会认为：</w:t>
      </w:r>
      <w:r w:rsidR="00AD1B4D" w:rsidRPr="009619C1">
        <w:rPr>
          <w:rFonts w:asciiTheme="minorEastAsia" w:eastAsiaTheme="minorEastAsia" w:hAnsiTheme="minorEastAsia" w:hint="eastAsia"/>
          <w:szCs w:val="21"/>
        </w:rPr>
        <w:t>董事会制订的</w:t>
      </w:r>
      <w:r w:rsidR="00374D16" w:rsidRPr="009619C1">
        <w:rPr>
          <w:rFonts w:asciiTheme="minorEastAsia" w:eastAsiaTheme="minorEastAsia" w:hAnsiTheme="minorEastAsia" w:hint="eastAsia"/>
          <w:szCs w:val="21"/>
        </w:rPr>
        <w:t>《</w:t>
      </w:r>
      <w:r w:rsidR="009B684E" w:rsidRPr="009619C1">
        <w:rPr>
          <w:rFonts w:asciiTheme="minorEastAsia" w:eastAsiaTheme="minorEastAsia" w:hAnsiTheme="minorEastAsia"/>
          <w:szCs w:val="21"/>
        </w:rPr>
        <w:t>2019</w:t>
      </w:r>
      <w:r w:rsidR="00AD1B4D" w:rsidRPr="009619C1">
        <w:rPr>
          <w:rFonts w:asciiTheme="minorEastAsia" w:eastAsiaTheme="minorEastAsia" w:hAnsiTheme="minorEastAsia" w:hint="eastAsia"/>
          <w:szCs w:val="21"/>
        </w:rPr>
        <w:t>年度利润分配预案</w:t>
      </w:r>
      <w:r w:rsidR="00374D16" w:rsidRPr="009619C1">
        <w:rPr>
          <w:rFonts w:asciiTheme="minorEastAsia" w:eastAsiaTheme="minorEastAsia" w:hAnsiTheme="minorEastAsia" w:hint="eastAsia"/>
          <w:szCs w:val="21"/>
        </w:rPr>
        <w:t>》</w:t>
      </w:r>
      <w:r w:rsidR="00AD1B4D" w:rsidRPr="009619C1">
        <w:rPr>
          <w:rFonts w:asciiTheme="minorEastAsia" w:eastAsiaTheme="minorEastAsia" w:hAnsiTheme="minorEastAsia" w:hint="eastAsia"/>
          <w:szCs w:val="21"/>
        </w:rPr>
        <w:t>，严格遵循了证券监管机构关于利润分配的规定以及《公司章程》的要求，符合公司经营实际情况。同意公司</w:t>
      </w:r>
      <w:r w:rsidR="00A93470" w:rsidRPr="00A71AE3">
        <w:rPr>
          <w:rFonts w:ascii="宋体" w:hAnsi="宋体" w:hint="eastAsia"/>
          <w:szCs w:val="21"/>
        </w:rPr>
        <w:t>以截至</w:t>
      </w:r>
      <w:r w:rsidR="00A93470">
        <w:rPr>
          <w:rFonts w:ascii="宋体" w:hAnsi="宋体" w:hint="eastAsia"/>
          <w:szCs w:val="21"/>
        </w:rPr>
        <w:t>目前</w:t>
      </w:r>
      <w:r w:rsidR="00A93470" w:rsidRPr="00A71AE3">
        <w:rPr>
          <w:rFonts w:ascii="宋体" w:hAnsi="宋体" w:hint="eastAsia"/>
          <w:szCs w:val="21"/>
        </w:rPr>
        <w:t>总股本869,230,324股扣减截回购专户持有股份21,576,706股后的股本847</w:t>
      </w:r>
      <w:r w:rsidR="00A93470">
        <w:rPr>
          <w:rFonts w:ascii="宋体" w:hAnsi="宋体" w:hint="eastAsia"/>
          <w:szCs w:val="21"/>
        </w:rPr>
        <w:t>,</w:t>
      </w:r>
      <w:r w:rsidR="00A93470" w:rsidRPr="00A71AE3">
        <w:rPr>
          <w:rFonts w:ascii="宋体" w:hAnsi="宋体" w:hint="eastAsia"/>
          <w:szCs w:val="21"/>
        </w:rPr>
        <w:t>653</w:t>
      </w:r>
      <w:r w:rsidR="00A93470">
        <w:rPr>
          <w:rFonts w:ascii="宋体" w:hAnsi="宋体" w:hint="eastAsia"/>
          <w:szCs w:val="21"/>
        </w:rPr>
        <w:t>,</w:t>
      </w:r>
      <w:r w:rsidR="00A93470" w:rsidRPr="00A71AE3">
        <w:rPr>
          <w:rFonts w:ascii="宋体" w:hAnsi="宋体" w:hint="eastAsia"/>
          <w:szCs w:val="21"/>
        </w:rPr>
        <w:t>618股为基数，每10股派发现金红利3.00元（含税），共计派发现金红利254,296,085.40元。剩余未分配利润滚存入下一年度。本次利润分配不送红股，不进行资本公积金转增股本。</w:t>
      </w:r>
    </w:p>
    <w:p w14:paraId="25635155" w14:textId="77777777" w:rsidR="00504FC2" w:rsidRPr="009619C1" w:rsidRDefault="00314F19" w:rsidP="001038F5">
      <w:pPr>
        <w:adjustRightInd w:val="0"/>
        <w:snapToGrid w:val="0"/>
        <w:spacing w:beforeLines="100" w:before="316" w:line="360" w:lineRule="auto"/>
        <w:ind w:firstLineChars="200" w:firstLine="422"/>
        <w:rPr>
          <w:rFonts w:asciiTheme="minorEastAsia" w:eastAsiaTheme="minorEastAsia" w:hAnsiTheme="minorEastAsia"/>
          <w:b/>
          <w:szCs w:val="21"/>
        </w:rPr>
      </w:pPr>
      <w:r w:rsidRPr="009619C1">
        <w:rPr>
          <w:rFonts w:asciiTheme="minorEastAsia" w:eastAsiaTheme="minorEastAsia" w:hAnsiTheme="minorEastAsia"/>
          <w:b/>
          <w:szCs w:val="21"/>
        </w:rPr>
        <w:t xml:space="preserve">三、其他说明 </w:t>
      </w:r>
    </w:p>
    <w:p w14:paraId="178D2698" w14:textId="5575D3B4" w:rsidR="004B2EA0" w:rsidRPr="009619C1" w:rsidRDefault="004E396F" w:rsidP="001038F5">
      <w:pPr>
        <w:autoSpaceDE w:val="0"/>
        <w:autoSpaceDN w:val="0"/>
        <w:adjustRightInd w:val="0"/>
        <w:snapToGrid w:val="0"/>
        <w:spacing w:line="360" w:lineRule="auto"/>
        <w:ind w:firstLineChars="200" w:firstLine="460"/>
        <w:rPr>
          <w:rFonts w:asciiTheme="minorEastAsia" w:eastAsiaTheme="minorEastAsia" w:hAnsiTheme="minorEastAsia" w:cs="宋体"/>
          <w:szCs w:val="21"/>
        </w:rPr>
      </w:pPr>
      <w:r w:rsidRPr="009619C1">
        <w:rPr>
          <w:rFonts w:hint="eastAsia"/>
          <w:sz w:val="23"/>
          <w:szCs w:val="23"/>
        </w:rPr>
        <w:t>1</w:t>
      </w:r>
      <w:r w:rsidRPr="009619C1">
        <w:rPr>
          <w:rFonts w:hint="eastAsia"/>
          <w:sz w:val="23"/>
          <w:szCs w:val="23"/>
        </w:rPr>
        <w:t>、</w:t>
      </w:r>
      <w:r w:rsidR="004B2EA0" w:rsidRPr="009619C1">
        <w:rPr>
          <w:rFonts w:hint="eastAsia"/>
          <w:sz w:val="23"/>
          <w:szCs w:val="23"/>
        </w:rPr>
        <w:t>根据《深圳证券交易所上市公司回购股份实施细则》规定，公司回购专用账户中的股份不享有股东大会表决权、利润分配、公积金转增股本、配股、质押等权利。</w:t>
      </w:r>
      <w:r w:rsidR="004B2EA0" w:rsidRPr="009619C1">
        <w:rPr>
          <w:rFonts w:asciiTheme="minorEastAsia" w:eastAsiaTheme="minorEastAsia" w:hAnsiTheme="minorEastAsia" w:cs="宋体" w:hint="eastAsia"/>
          <w:szCs w:val="21"/>
        </w:rPr>
        <w:t>上市公司以现金为对价，采用要约、集中竞价方式回购股份的，视同上市公司现金分红，纳入现金分红的相关比例计算。</w:t>
      </w:r>
    </w:p>
    <w:p w14:paraId="0B56CE27" w14:textId="758F0FDB" w:rsidR="00774EF2" w:rsidRPr="009619C1" w:rsidRDefault="004E396F"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kern w:val="2"/>
          <w:sz w:val="21"/>
          <w:szCs w:val="21"/>
        </w:rPr>
        <w:lastRenderedPageBreak/>
        <w:t>2</w:t>
      </w:r>
      <w:r w:rsidRPr="009619C1">
        <w:rPr>
          <w:rFonts w:asciiTheme="minorEastAsia" w:eastAsiaTheme="minorEastAsia" w:hAnsiTheme="minorEastAsia" w:cs="宋体" w:hint="eastAsia"/>
          <w:kern w:val="2"/>
          <w:sz w:val="21"/>
          <w:szCs w:val="21"/>
        </w:rPr>
        <w:t>、</w:t>
      </w:r>
      <w:r w:rsidR="00774EF2" w:rsidRPr="009619C1">
        <w:rPr>
          <w:rFonts w:asciiTheme="minorEastAsia" w:eastAsiaTheme="minorEastAsia" w:hAnsiTheme="minorEastAsia" w:cs="宋体"/>
          <w:kern w:val="2"/>
          <w:sz w:val="21"/>
          <w:szCs w:val="21"/>
        </w:rPr>
        <w:t xml:space="preserve">本次利润分配预案需经股东大会审议通过后方可实施，尚存在不确定性， 敬请广大投资者理性投资，注意投资风险。 </w:t>
      </w:r>
    </w:p>
    <w:p w14:paraId="1C2F6C49" w14:textId="6936DBC0" w:rsidR="00774EF2" w:rsidRPr="009619C1" w:rsidRDefault="004E396F" w:rsidP="001038F5">
      <w:pPr>
        <w:pStyle w:val="a9"/>
        <w:adjustRightInd w:val="0"/>
        <w:snapToGrid w:val="0"/>
        <w:spacing w:before="0" w:beforeAutospacing="0" w:after="0" w:afterAutospacing="0" w:line="360" w:lineRule="auto"/>
        <w:ind w:firstLineChars="200" w:firstLine="420"/>
        <w:rPr>
          <w:rFonts w:asciiTheme="minorEastAsia" w:eastAsiaTheme="minorEastAsia" w:hAnsiTheme="minorEastAsia" w:cs="宋体"/>
          <w:kern w:val="2"/>
          <w:sz w:val="21"/>
          <w:szCs w:val="21"/>
        </w:rPr>
      </w:pPr>
      <w:r w:rsidRPr="009619C1">
        <w:rPr>
          <w:rFonts w:asciiTheme="minorEastAsia" w:eastAsiaTheme="minorEastAsia" w:hAnsiTheme="minorEastAsia" w:cs="宋体"/>
          <w:kern w:val="2"/>
          <w:sz w:val="21"/>
          <w:szCs w:val="21"/>
        </w:rPr>
        <w:t>3</w:t>
      </w:r>
      <w:r w:rsidRPr="009619C1">
        <w:rPr>
          <w:rFonts w:asciiTheme="minorEastAsia" w:eastAsiaTheme="minorEastAsia" w:hAnsiTheme="minorEastAsia" w:cs="宋体" w:hint="eastAsia"/>
          <w:kern w:val="2"/>
          <w:sz w:val="21"/>
          <w:szCs w:val="21"/>
        </w:rPr>
        <w:t>、</w:t>
      </w:r>
      <w:r w:rsidR="00774EF2" w:rsidRPr="009619C1">
        <w:rPr>
          <w:rFonts w:asciiTheme="minorEastAsia" w:eastAsiaTheme="minorEastAsia" w:hAnsiTheme="minorEastAsia" w:cs="宋体"/>
          <w:kern w:val="2"/>
          <w:sz w:val="21"/>
          <w:szCs w:val="21"/>
        </w:rPr>
        <w:t xml:space="preserve">本次利润分配预案披露前，公司严格控制内幕信息知情人范围，并对相关内幕信息知情人履行了保密和严禁内幕交易的告知义务，防止内幕信息泄露。 </w:t>
      </w:r>
    </w:p>
    <w:p w14:paraId="6E33EC6A" w14:textId="7C134BFB" w:rsidR="00314F19" w:rsidRPr="009619C1" w:rsidRDefault="00314F19" w:rsidP="001038F5">
      <w:pPr>
        <w:pStyle w:val="Default"/>
        <w:snapToGrid w:val="0"/>
        <w:spacing w:line="360" w:lineRule="auto"/>
        <w:ind w:firstLineChars="200" w:firstLine="420"/>
        <w:rPr>
          <w:rFonts w:asciiTheme="minorEastAsia" w:eastAsiaTheme="minorEastAsia" w:hAnsiTheme="minorEastAsia"/>
          <w:sz w:val="21"/>
          <w:szCs w:val="21"/>
        </w:rPr>
      </w:pPr>
    </w:p>
    <w:p w14:paraId="4F0E7F01" w14:textId="77777777" w:rsidR="008B0B9E" w:rsidRPr="009619C1" w:rsidRDefault="008B0B9E" w:rsidP="001038F5">
      <w:pPr>
        <w:adjustRightInd w:val="0"/>
        <w:snapToGrid w:val="0"/>
        <w:spacing w:beforeLines="100" w:before="316" w:line="360" w:lineRule="auto"/>
        <w:ind w:firstLineChars="200" w:firstLine="420"/>
        <w:rPr>
          <w:rFonts w:asciiTheme="minorEastAsia" w:eastAsiaTheme="minorEastAsia" w:hAnsiTheme="minorEastAsia"/>
          <w:szCs w:val="21"/>
        </w:rPr>
      </w:pPr>
      <w:r w:rsidRPr="009619C1">
        <w:rPr>
          <w:rFonts w:asciiTheme="minorEastAsia" w:eastAsiaTheme="minorEastAsia" w:hAnsiTheme="minorEastAsia" w:hint="eastAsia"/>
          <w:szCs w:val="21"/>
        </w:rPr>
        <w:t>特此公告。</w:t>
      </w:r>
    </w:p>
    <w:p w14:paraId="7A2B260C" w14:textId="77777777" w:rsidR="00E76143" w:rsidRPr="009619C1" w:rsidRDefault="00E76143" w:rsidP="001038F5">
      <w:pPr>
        <w:adjustRightInd w:val="0"/>
        <w:snapToGrid w:val="0"/>
        <w:spacing w:line="360" w:lineRule="auto"/>
        <w:ind w:firstLine="200"/>
        <w:rPr>
          <w:rFonts w:asciiTheme="minorEastAsia" w:eastAsiaTheme="minorEastAsia" w:hAnsiTheme="minorEastAsia" w:cs="宋体"/>
          <w:szCs w:val="21"/>
        </w:rPr>
      </w:pPr>
    </w:p>
    <w:p w14:paraId="0F846F54" w14:textId="77777777" w:rsidR="004B0003" w:rsidRPr="009619C1" w:rsidRDefault="004B0003" w:rsidP="001038F5">
      <w:pPr>
        <w:adjustRightInd w:val="0"/>
        <w:snapToGrid w:val="0"/>
        <w:spacing w:line="360" w:lineRule="auto"/>
        <w:ind w:firstLine="200"/>
        <w:jc w:val="right"/>
        <w:rPr>
          <w:rFonts w:asciiTheme="minorEastAsia" w:eastAsiaTheme="minorEastAsia" w:hAnsiTheme="minorEastAsia" w:cs="宋体"/>
          <w:szCs w:val="21"/>
        </w:rPr>
      </w:pPr>
    </w:p>
    <w:p w14:paraId="66AFAF16" w14:textId="77777777" w:rsidR="004B0003" w:rsidRPr="009619C1" w:rsidRDefault="004B0003" w:rsidP="001038F5">
      <w:pPr>
        <w:adjustRightInd w:val="0"/>
        <w:snapToGrid w:val="0"/>
        <w:spacing w:line="360" w:lineRule="auto"/>
        <w:ind w:firstLine="200"/>
        <w:jc w:val="right"/>
        <w:rPr>
          <w:rFonts w:asciiTheme="minorEastAsia" w:eastAsiaTheme="minorEastAsia" w:hAnsiTheme="minorEastAsia" w:cs="宋体"/>
          <w:szCs w:val="21"/>
        </w:rPr>
      </w:pPr>
    </w:p>
    <w:p w14:paraId="645F8EA5" w14:textId="77777777" w:rsidR="00E76143" w:rsidRPr="009619C1" w:rsidRDefault="00E76143" w:rsidP="001038F5">
      <w:pPr>
        <w:adjustRightInd w:val="0"/>
        <w:snapToGrid w:val="0"/>
        <w:spacing w:line="360" w:lineRule="auto"/>
        <w:ind w:firstLine="200"/>
        <w:jc w:val="right"/>
        <w:rPr>
          <w:rFonts w:asciiTheme="minorEastAsia" w:eastAsiaTheme="minorEastAsia" w:hAnsiTheme="minorEastAsia" w:cs="宋体"/>
          <w:szCs w:val="21"/>
        </w:rPr>
      </w:pPr>
      <w:r w:rsidRPr="009619C1">
        <w:rPr>
          <w:rFonts w:asciiTheme="minorEastAsia" w:eastAsiaTheme="minorEastAsia" w:hAnsiTheme="minorEastAsia" w:cs="宋体" w:hint="eastAsia"/>
          <w:szCs w:val="21"/>
        </w:rPr>
        <w:t xml:space="preserve">华帝股份有限公司 </w:t>
      </w:r>
    </w:p>
    <w:p w14:paraId="40F04C8C" w14:textId="77777777" w:rsidR="00E76143" w:rsidRPr="009619C1" w:rsidRDefault="00E76143" w:rsidP="009B684E">
      <w:pPr>
        <w:adjustRightInd w:val="0"/>
        <w:snapToGrid w:val="0"/>
        <w:spacing w:line="360" w:lineRule="auto"/>
        <w:ind w:right="420" w:firstLine="200"/>
        <w:jc w:val="right"/>
        <w:rPr>
          <w:rFonts w:asciiTheme="minorEastAsia" w:eastAsiaTheme="minorEastAsia" w:hAnsiTheme="minorEastAsia" w:cs="宋体"/>
          <w:szCs w:val="21"/>
        </w:rPr>
      </w:pPr>
      <w:r w:rsidRPr="009619C1">
        <w:rPr>
          <w:rFonts w:asciiTheme="minorEastAsia" w:eastAsiaTheme="minorEastAsia" w:hAnsiTheme="minorEastAsia" w:cs="宋体" w:hint="eastAsia"/>
          <w:szCs w:val="21"/>
        </w:rPr>
        <w:t xml:space="preserve">董事会 </w:t>
      </w:r>
    </w:p>
    <w:p w14:paraId="5DB57352" w14:textId="69DE3B77" w:rsidR="00E76143" w:rsidRPr="00CE35E3" w:rsidRDefault="00E76143" w:rsidP="001038F5">
      <w:pPr>
        <w:adjustRightInd w:val="0"/>
        <w:snapToGrid w:val="0"/>
        <w:spacing w:line="360" w:lineRule="auto"/>
        <w:ind w:firstLine="200"/>
        <w:jc w:val="right"/>
        <w:rPr>
          <w:rFonts w:asciiTheme="minorEastAsia" w:eastAsiaTheme="minorEastAsia" w:hAnsiTheme="minorEastAsia" w:cs="宋体"/>
          <w:szCs w:val="21"/>
        </w:rPr>
      </w:pPr>
      <w:r w:rsidRPr="009619C1">
        <w:rPr>
          <w:rFonts w:asciiTheme="minorEastAsia" w:eastAsiaTheme="minorEastAsia" w:hAnsiTheme="minorEastAsia" w:cs="宋体" w:hint="eastAsia"/>
          <w:szCs w:val="21"/>
        </w:rPr>
        <w:t xml:space="preserve">                                                              </w:t>
      </w:r>
      <w:r w:rsidR="009B684E" w:rsidRPr="009619C1">
        <w:rPr>
          <w:rFonts w:asciiTheme="minorEastAsia" w:eastAsiaTheme="minorEastAsia" w:hAnsiTheme="minorEastAsia" w:cs="宋体"/>
          <w:szCs w:val="21"/>
        </w:rPr>
        <w:t>2020</w:t>
      </w:r>
      <w:r w:rsidRPr="009619C1">
        <w:rPr>
          <w:rFonts w:asciiTheme="minorEastAsia" w:eastAsiaTheme="minorEastAsia" w:hAnsiTheme="minorEastAsia" w:cs="宋体" w:hint="eastAsia"/>
          <w:szCs w:val="21"/>
        </w:rPr>
        <w:t>年4月</w:t>
      </w:r>
      <w:r w:rsidR="009B684E" w:rsidRPr="009619C1">
        <w:rPr>
          <w:rFonts w:asciiTheme="minorEastAsia" w:eastAsiaTheme="minorEastAsia" w:hAnsiTheme="minorEastAsia" w:cs="宋体"/>
          <w:szCs w:val="21"/>
        </w:rPr>
        <w:t>28</w:t>
      </w:r>
      <w:r w:rsidRPr="009619C1">
        <w:rPr>
          <w:rFonts w:asciiTheme="minorEastAsia" w:eastAsiaTheme="minorEastAsia" w:hAnsiTheme="minorEastAsia" w:cs="宋体" w:hint="eastAsia"/>
          <w:szCs w:val="21"/>
        </w:rPr>
        <w:t>日</w:t>
      </w:r>
      <w:r w:rsidRPr="00CE35E3">
        <w:rPr>
          <w:rFonts w:asciiTheme="minorEastAsia" w:eastAsiaTheme="minorEastAsia" w:hAnsiTheme="minorEastAsia" w:cs="宋体" w:hint="eastAsia"/>
          <w:szCs w:val="21"/>
        </w:rPr>
        <w:t xml:space="preserve"> </w:t>
      </w:r>
    </w:p>
    <w:sectPr w:rsidR="00E76143" w:rsidRPr="00CE35E3" w:rsidSect="001038F5">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134" w:left="1797" w:header="851" w:footer="992" w:gutter="0"/>
      <w:cols w:space="425"/>
      <w:docGrid w:type="lines" w:linePitch="316"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9C07" w14:textId="77777777" w:rsidR="00D84612" w:rsidRDefault="00D84612" w:rsidP="00AB62E4">
      <w:r>
        <w:separator/>
      </w:r>
    </w:p>
  </w:endnote>
  <w:endnote w:type="continuationSeparator" w:id="0">
    <w:p w14:paraId="3FB2843D" w14:textId="77777777" w:rsidR="00D84612" w:rsidRDefault="00D84612" w:rsidP="00AB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19F7" w14:textId="77777777" w:rsidR="00EB4898" w:rsidRDefault="00EB489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3524" w14:textId="77777777" w:rsidR="00EB4898" w:rsidRDefault="00EB489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B789" w14:textId="77777777" w:rsidR="00EB4898" w:rsidRDefault="00EB48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FA3F" w14:textId="77777777" w:rsidR="00D84612" w:rsidRDefault="00D84612" w:rsidP="00AB62E4">
      <w:r>
        <w:separator/>
      </w:r>
    </w:p>
  </w:footnote>
  <w:footnote w:type="continuationSeparator" w:id="0">
    <w:p w14:paraId="75BB4207" w14:textId="77777777" w:rsidR="00D84612" w:rsidRDefault="00D84612" w:rsidP="00AB6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98B8" w14:textId="77777777" w:rsidR="00EB4898" w:rsidRDefault="00EB4898" w:rsidP="001038F5">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454" w14:textId="77777777" w:rsidR="00EB4898" w:rsidRDefault="00EB4898" w:rsidP="001038F5">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E680" w14:textId="77777777" w:rsidR="00EB4898" w:rsidRDefault="00EB489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tabs>
          <w:tab w:val="num" w:pos="1125"/>
        </w:tabs>
        <w:ind w:left="1125" w:hanging="1125"/>
      </w:pPr>
      <w:rPr>
        <w:rFonts w:hint="eastAsia"/>
      </w:rPr>
    </w:lvl>
    <w:lvl w:ilvl="1">
      <w:start w:val="1"/>
      <w:numFmt w:val="chineseCountingThousand"/>
      <w:lvlText w:val="第%2节"/>
      <w:lvlJc w:val="left"/>
      <w:pPr>
        <w:tabs>
          <w:tab w:val="num" w:pos="1710"/>
        </w:tabs>
        <w:ind w:left="1710" w:hanging="1290"/>
      </w:pPr>
      <w:rPr>
        <w:rFonts w:eastAsia="宋体" w:hint="eastAsia"/>
        <w:b/>
        <w:i w:val="0"/>
        <w:sz w:val="24"/>
      </w:rPr>
    </w:lvl>
    <w:lvl w:ilvl="2">
      <w:start w:val="1"/>
      <w:numFmt w:val="chineseCountingThousand"/>
      <w:lvlText w:val="（%3）"/>
      <w:lvlJc w:val="left"/>
      <w:pPr>
        <w:tabs>
          <w:tab w:val="num" w:pos="1572"/>
        </w:tabs>
        <w:ind w:left="1572" w:hanging="732"/>
      </w:pPr>
      <w:rPr>
        <w:rFonts w:eastAsia="宋体" w:hint="eastAsia"/>
        <w:b w:val="0"/>
        <w:i w:val="0"/>
        <w:sz w:val="24"/>
      </w:rPr>
    </w:lvl>
    <w:lvl w:ilvl="3">
      <w:start w:val="1"/>
      <w:numFmt w:val="chineseCountingThousand"/>
      <w:lvlText w:val="（%4）"/>
      <w:lvlJc w:val="left"/>
      <w:pPr>
        <w:tabs>
          <w:tab w:val="num" w:pos="1995"/>
        </w:tabs>
        <w:ind w:left="1995" w:hanging="735"/>
      </w:pPr>
      <w:rPr>
        <w:rFonts w:hint="eastAsia"/>
        <w:b w:val="0"/>
        <w:i w:val="0"/>
      </w:rPr>
    </w:lvl>
    <w:lvl w:ilvl="4">
      <w:start w:val="1"/>
      <w:numFmt w:val="japaneseCounting"/>
      <w:lvlText w:val="(%5)"/>
      <w:lvlJc w:val="left"/>
      <w:pPr>
        <w:tabs>
          <w:tab w:val="num" w:pos="2190"/>
        </w:tabs>
        <w:ind w:left="2190" w:hanging="51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13"/>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B9E"/>
    <w:rsid w:val="00016666"/>
    <w:rsid w:val="0001717D"/>
    <w:rsid w:val="00017CEB"/>
    <w:rsid w:val="000208C8"/>
    <w:rsid w:val="00035233"/>
    <w:rsid w:val="00036514"/>
    <w:rsid w:val="00040917"/>
    <w:rsid w:val="000630EF"/>
    <w:rsid w:val="000672AE"/>
    <w:rsid w:val="00075533"/>
    <w:rsid w:val="000A4165"/>
    <w:rsid w:val="000A76B4"/>
    <w:rsid w:val="000B11AB"/>
    <w:rsid w:val="000B3036"/>
    <w:rsid w:val="00102F47"/>
    <w:rsid w:val="001038F5"/>
    <w:rsid w:val="0010765D"/>
    <w:rsid w:val="00107A48"/>
    <w:rsid w:val="0012352F"/>
    <w:rsid w:val="00171B43"/>
    <w:rsid w:val="001721D5"/>
    <w:rsid w:val="001741DF"/>
    <w:rsid w:val="001846FC"/>
    <w:rsid w:val="001A4E69"/>
    <w:rsid w:val="001B475E"/>
    <w:rsid w:val="001E7D0A"/>
    <w:rsid w:val="001F0393"/>
    <w:rsid w:val="00202138"/>
    <w:rsid w:val="00206F06"/>
    <w:rsid w:val="002146AD"/>
    <w:rsid w:val="0022416A"/>
    <w:rsid w:val="00226499"/>
    <w:rsid w:val="002778C2"/>
    <w:rsid w:val="002B3BB5"/>
    <w:rsid w:val="002C1BDB"/>
    <w:rsid w:val="002C1E7C"/>
    <w:rsid w:val="002D5263"/>
    <w:rsid w:val="002E0612"/>
    <w:rsid w:val="002E6DB5"/>
    <w:rsid w:val="002F12D8"/>
    <w:rsid w:val="00304D50"/>
    <w:rsid w:val="00314F19"/>
    <w:rsid w:val="00324687"/>
    <w:rsid w:val="00324E30"/>
    <w:rsid w:val="00354A37"/>
    <w:rsid w:val="00374D16"/>
    <w:rsid w:val="003750A4"/>
    <w:rsid w:val="003A774B"/>
    <w:rsid w:val="003D67F4"/>
    <w:rsid w:val="003F45FB"/>
    <w:rsid w:val="00405333"/>
    <w:rsid w:val="0042689E"/>
    <w:rsid w:val="004325DF"/>
    <w:rsid w:val="00450911"/>
    <w:rsid w:val="0045610C"/>
    <w:rsid w:val="004735C8"/>
    <w:rsid w:val="004A7B1F"/>
    <w:rsid w:val="004B0003"/>
    <w:rsid w:val="004B2EA0"/>
    <w:rsid w:val="004B4FA3"/>
    <w:rsid w:val="004C2DBC"/>
    <w:rsid w:val="004C71FE"/>
    <w:rsid w:val="004D15D4"/>
    <w:rsid w:val="004E1F54"/>
    <w:rsid w:val="004E33A9"/>
    <w:rsid w:val="004E396F"/>
    <w:rsid w:val="004F328C"/>
    <w:rsid w:val="0050101B"/>
    <w:rsid w:val="0050239D"/>
    <w:rsid w:val="00504FC2"/>
    <w:rsid w:val="005101A4"/>
    <w:rsid w:val="00534681"/>
    <w:rsid w:val="00547D8A"/>
    <w:rsid w:val="0059367B"/>
    <w:rsid w:val="005B0E95"/>
    <w:rsid w:val="005B2795"/>
    <w:rsid w:val="005D3A3E"/>
    <w:rsid w:val="00620ABF"/>
    <w:rsid w:val="00621DA6"/>
    <w:rsid w:val="00653DD2"/>
    <w:rsid w:val="00672AA7"/>
    <w:rsid w:val="006852C0"/>
    <w:rsid w:val="006B0F57"/>
    <w:rsid w:val="006F22F3"/>
    <w:rsid w:val="006F7296"/>
    <w:rsid w:val="00706557"/>
    <w:rsid w:val="007260D1"/>
    <w:rsid w:val="007306A3"/>
    <w:rsid w:val="00735802"/>
    <w:rsid w:val="007535C2"/>
    <w:rsid w:val="0076272E"/>
    <w:rsid w:val="0076727C"/>
    <w:rsid w:val="00767DBA"/>
    <w:rsid w:val="0077001A"/>
    <w:rsid w:val="007708A1"/>
    <w:rsid w:val="00774EF2"/>
    <w:rsid w:val="0079781D"/>
    <w:rsid w:val="007A214D"/>
    <w:rsid w:val="007A7CBD"/>
    <w:rsid w:val="007B3016"/>
    <w:rsid w:val="007B4AFB"/>
    <w:rsid w:val="007C2D4C"/>
    <w:rsid w:val="007E0AC9"/>
    <w:rsid w:val="008413E2"/>
    <w:rsid w:val="008436A2"/>
    <w:rsid w:val="00853872"/>
    <w:rsid w:val="008542D1"/>
    <w:rsid w:val="008819D4"/>
    <w:rsid w:val="008B0B9E"/>
    <w:rsid w:val="008D4D71"/>
    <w:rsid w:val="008F42F1"/>
    <w:rsid w:val="00920502"/>
    <w:rsid w:val="00936003"/>
    <w:rsid w:val="009619C1"/>
    <w:rsid w:val="00963ACF"/>
    <w:rsid w:val="00966A33"/>
    <w:rsid w:val="00966EE4"/>
    <w:rsid w:val="009706F7"/>
    <w:rsid w:val="00990615"/>
    <w:rsid w:val="00990CE1"/>
    <w:rsid w:val="009B0526"/>
    <w:rsid w:val="009B684E"/>
    <w:rsid w:val="009C2674"/>
    <w:rsid w:val="009E70F5"/>
    <w:rsid w:val="009F3CE9"/>
    <w:rsid w:val="00A05484"/>
    <w:rsid w:val="00A15358"/>
    <w:rsid w:val="00A2748E"/>
    <w:rsid w:val="00A30B84"/>
    <w:rsid w:val="00A45396"/>
    <w:rsid w:val="00A47D93"/>
    <w:rsid w:val="00A52CE4"/>
    <w:rsid w:val="00A71AE3"/>
    <w:rsid w:val="00A75E58"/>
    <w:rsid w:val="00A91A49"/>
    <w:rsid w:val="00A93470"/>
    <w:rsid w:val="00A96F2F"/>
    <w:rsid w:val="00AA1E41"/>
    <w:rsid w:val="00AB62E4"/>
    <w:rsid w:val="00AD0DF8"/>
    <w:rsid w:val="00AD1B4D"/>
    <w:rsid w:val="00AE3BB5"/>
    <w:rsid w:val="00AE47FE"/>
    <w:rsid w:val="00B04536"/>
    <w:rsid w:val="00B245A4"/>
    <w:rsid w:val="00B568DA"/>
    <w:rsid w:val="00B675F8"/>
    <w:rsid w:val="00B843F6"/>
    <w:rsid w:val="00B86D28"/>
    <w:rsid w:val="00BC3416"/>
    <w:rsid w:val="00BD5ACC"/>
    <w:rsid w:val="00BE4376"/>
    <w:rsid w:val="00BF3D4D"/>
    <w:rsid w:val="00C62D92"/>
    <w:rsid w:val="00C73834"/>
    <w:rsid w:val="00C92204"/>
    <w:rsid w:val="00CA784F"/>
    <w:rsid w:val="00CD02E6"/>
    <w:rsid w:val="00CE35E3"/>
    <w:rsid w:val="00CF2D0B"/>
    <w:rsid w:val="00D064AA"/>
    <w:rsid w:val="00D3230B"/>
    <w:rsid w:val="00D44D52"/>
    <w:rsid w:val="00D54417"/>
    <w:rsid w:val="00D713B8"/>
    <w:rsid w:val="00D84612"/>
    <w:rsid w:val="00D87DB8"/>
    <w:rsid w:val="00D90F1A"/>
    <w:rsid w:val="00DA5423"/>
    <w:rsid w:val="00DB25C9"/>
    <w:rsid w:val="00DC4975"/>
    <w:rsid w:val="00DE41F3"/>
    <w:rsid w:val="00DE70AB"/>
    <w:rsid w:val="00E13D95"/>
    <w:rsid w:val="00E338DD"/>
    <w:rsid w:val="00E60289"/>
    <w:rsid w:val="00E61B74"/>
    <w:rsid w:val="00E63DB2"/>
    <w:rsid w:val="00E75496"/>
    <w:rsid w:val="00E76143"/>
    <w:rsid w:val="00E816E5"/>
    <w:rsid w:val="00E8429A"/>
    <w:rsid w:val="00E914C1"/>
    <w:rsid w:val="00E91782"/>
    <w:rsid w:val="00E93420"/>
    <w:rsid w:val="00EB0A36"/>
    <w:rsid w:val="00EB4898"/>
    <w:rsid w:val="00EF157B"/>
    <w:rsid w:val="00EF5494"/>
    <w:rsid w:val="00F364B4"/>
    <w:rsid w:val="00F44D18"/>
    <w:rsid w:val="00F60DFF"/>
    <w:rsid w:val="00F65ADD"/>
    <w:rsid w:val="00F7486C"/>
    <w:rsid w:val="00F76088"/>
    <w:rsid w:val="00FC2170"/>
    <w:rsid w:val="00FC36FF"/>
    <w:rsid w:val="00FD73EA"/>
    <w:rsid w:val="00FF0F9B"/>
    <w:rsid w:val="00FF3354"/>
    <w:rsid w:val="00FF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A4955"/>
  <w15:docId w15:val="{2E1129E0-6924-4831-A966-5E7E3F6F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beforeLines="50" w:after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B9E"/>
    <w:pPr>
      <w:widowControl w:val="0"/>
      <w:spacing w:beforeLines="0" w:afterLines="0" w:line="240" w:lineRule="auto"/>
    </w:pPr>
    <w:rPr>
      <w:kern w:val="2"/>
      <w:sz w:val="21"/>
      <w:szCs w:val="24"/>
    </w:rPr>
  </w:style>
  <w:style w:type="paragraph" w:styleId="1">
    <w:name w:val="heading 1"/>
    <w:basedOn w:val="a"/>
    <w:next w:val="a"/>
    <w:link w:val="10"/>
    <w:qFormat/>
    <w:rsid w:val="00F7486C"/>
    <w:pPr>
      <w:keepNext/>
      <w:keepLines/>
      <w:spacing w:beforeLines="50" w:afterLines="5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486C"/>
    <w:rPr>
      <w:b/>
      <w:bCs/>
      <w:kern w:val="44"/>
      <w:sz w:val="44"/>
      <w:szCs w:val="44"/>
    </w:rPr>
  </w:style>
  <w:style w:type="paragraph" w:styleId="a3">
    <w:name w:val="Title"/>
    <w:basedOn w:val="a"/>
    <w:next w:val="a"/>
    <w:link w:val="a4"/>
    <w:qFormat/>
    <w:rsid w:val="00F7486C"/>
    <w:pPr>
      <w:spacing w:beforeLines="50" w:afterLines="50" w:line="360" w:lineRule="auto"/>
      <w:jc w:val="center"/>
      <w:outlineLvl w:val="0"/>
    </w:pPr>
    <w:rPr>
      <w:rFonts w:asciiTheme="majorHAnsi" w:hAnsiTheme="majorHAnsi" w:cstheme="majorBidi"/>
      <w:b/>
      <w:bCs/>
      <w:kern w:val="0"/>
      <w:sz w:val="32"/>
      <w:szCs w:val="32"/>
    </w:rPr>
  </w:style>
  <w:style w:type="character" w:customStyle="1" w:styleId="a4">
    <w:name w:val="标题 字符"/>
    <w:basedOn w:val="a0"/>
    <w:link w:val="a3"/>
    <w:rsid w:val="00F7486C"/>
    <w:rPr>
      <w:rFonts w:asciiTheme="majorHAnsi" w:hAnsiTheme="majorHAnsi" w:cstheme="majorBidi"/>
      <w:b/>
      <w:bCs/>
      <w:sz w:val="32"/>
      <w:szCs w:val="32"/>
    </w:rPr>
  </w:style>
  <w:style w:type="paragraph" w:customStyle="1" w:styleId="Default">
    <w:name w:val="Default"/>
    <w:rsid w:val="008B0B9E"/>
    <w:pPr>
      <w:widowControl w:val="0"/>
      <w:autoSpaceDE w:val="0"/>
      <w:autoSpaceDN w:val="0"/>
      <w:adjustRightInd w:val="0"/>
      <w:spacing w:beforeLines="0" w:afterLines="0" w:line="240" w:lineRule="auto"/>
      <w:jc w:val="left"/>
    </w:pPr>
    <w:rPr>
      <w:rFonts w:ascii="宋体" w:cs="宋体"/>
      <w:color w:val="000000"/>
      <w:sz w:val="24"/>
      <w:szCs w:val="24"/>
    </w:rPr>
  </w:style>
  <w:style w:type="paragraph" w:styleId="a5">
    <w:name w:val="header"/>
    <w:basedOn w:val="a"/>
    <w:link w:val="a6"/>
    <w:uiPriority w:val="99"/>
    <w:unhideWhenUsed/>
    <w:rsid w:val="00AB62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62E4"/>
    <w:rPr>
      <w:kern w:val="2"/>
      <w:sz w:val="18"/>
      <w:szCs w:val="18"/>
    </w:rPr>
  </w:style>
  <w:style w:type="paragraph" w:styleId="a7">
    <w:name w:val="footer"/>
    <w:basedOn w:val="a"/>
    <w:link w:val="a8"/>
    <w:uiPriority w:val="99"/>
    <w:unhideWhenUsed/>
    <w:rsid w:val="00AB62E4"/>
    <w:pPr>
      <w:tabs>
        <w:tab w:val="center" w:pos="4153"/>
        <w:tab w:val="right" w:pos="8306"/>
      </w:tabs>
      <w:snapToGrid w:val="0"/>
      <w:jc w:val="left"/>
    </w:pPr>
    <w:rPr>
      <w:sz w:val="18"/>
      <w:szCs w:val="18"/>
    </w:rPr>
  </w:style>
  <w:style w:type="character" w:customStyle="1" w:styleId="a8">
    <w:name w:val="页脚 字符"/>
    <w:basedOn w:val="a0"/>
    <w:link w:val="a7"/>
    <w:uiPriority w:val="99"/>
    <w:rsid w:val="00AB62E4"/>
    <w:rPr>
      <w:kern w:val="2"/>
      <w:sz w:val="18"/>
      <w:szCs w:val="18"/>
    </w:rPr>
  </w:style>
  <w:style w:type="paragraph" w:styleId="a9">
    <w:name w:val="Normal (Web)"/>
    <w:basedOn w:val="a"/>
    <w:uiPriority w:val="99"/>
    <w:unhideWhenUsed/>
    <w:rsid w:val="00CE35E3"/>
    <w:pPr>
      <w:widowControl/>
      <w:spacing w:before="100" w:beforeAutospacing="1" w:after="100" w:afterAutospacing="1"/>
      <w:jc w:val="left"/>
    </w:pPr>
    <w:rPr>
      <w:rFonts w:ascii="Times" w:hAnsi="Times"/>
      <w:kern w:val="0"/>
      <w:sz w:val="20"/>
      <w:szCs w:val="20"/>
    </w:rPr>
  </w:style>
  <w:style w:type="paragraph" w:styleId="aa">
    <w:name w:val="Balloon Text"/>
    <w:basedOn w:val="a"/>
    <w:link w:val="ab"/>
    <w:uiPriority w:val="99"/>
    <w:semiHidden/>
    <w:unhideWhenUsed/>
    <w:rsid w:val="002E0612"/>
    <w:rPr>
      <w:sz w:val="18"/>
      <w:szCs w:val="18"/>
    </w:rPr>
  </w:style>
  <w:style w:type="character" w:customStyle="1" w:styleId="ab">
    <w:name w:val="批注框文本 字符"/>
    <w:basedOn w:val="a0"/>
    <w:link w:val="aa"/>
    <w:uiPriority w:val="99"/>
    <w:semiHidden/>
    <w:rsid w:val="002E06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8530">
      <w:bodyDiv w:val="1"/>
      <w:marLeft w:val="0"/>
      <w:marRight w:val="0"/>
      <w:marTop w:val="0"/>
      <w:marBottom w:val="0"/>
      <w:divBdr>
        <w:top w:val="none" w:sz="0" w:space="0" w:color="auto"/>
        <w:left w:val="none" w:sz="0" w:space="0" w:color="auto"/>
        <w:bottom w:val="none" w:sz="0" w:space="0" w:color="auto"/>
        <w:right w:val="none" w:sz="0" w:space="0" w:color="auto"/>
      </w:divBdr>
    </w:div>
    <w:div w:id="537551564">
      <w:bodyDiv w:val="1"/>
      <w:marLeft w:val="0"/>
      <w:marRight w:val="0"/>
      <w:marTop w:val="0"/>
      <w:marBottom w:val="0"/>
      <w:divBdr>
        <w:top w:val="none" w:sz="0" w:space="0" w:color="auto"/>
        <w:left w:val="none" w:sz="0" w:space="0" w:color="auto"/>
        <w:bottom w:val="none" w:sz="0" w:space="0" w:color="auto"/>
        <w:right w:val="none" w:sz="0" w:space="0" w:color="auto"/>
      </w:divBdr>
      <w:divsChild>
        <w:div w:id="1102921233">
          <w:marLeft w:val="0"/>
          <w:marRight w:val="0"/>
          <w:marTop w:val="0"/>
          <w:marBottom w:val="0"/>
          <w:divBdr>
            <w:top w:val="none" w:sz="0" w:space="0" w:color="auto"/>
            <w:left w:val="none" w:sz="0" w:space="0" w:color="auto"/>
            <w:bottom w:val="none" w:sz="0" w:space="0" w:color="auto"/>
            <w:right w:val="none" w:sz="0" w:space="0" w:color="auto"/>
          </w:divBdr>
          <w:divsChild>
            <w:div w:id="1432437946">
              <w:marLeft w:val="0"/>
              <w:marRight w:val="0"/>
              <w:marTop w:val="0"/>
              <w:marBottom w:val="0"/>
              <w:divBdr>
                <w:top w:val="none" w:sz="0" w:space="0" w:color="auto"/>
                <w:left w:val="none" w:sz="0" w:space="0" w:color="auto"/>
                <w:bottom w:val="none" w:sz="0" w:space="0" w:color="auto"/>
                <w:right w:val="none" w:sz="0" w:space="0" w:color="auto"/>
              </w:divBdr>
              <w:divsChild>
                <w:div w:id="16596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8374">
      <w:bodyDiv w:val="1"/>
      <w:marLeft w:val="0"/>
      <w:marRight w:val="0"/>
      <w:marTop w:val="0"/>
      <w:marBottom w:val="0"/>
      <w:divBdr>
        <w:top w:val="none" w:sz="0" w:space="0" w:color="auto"/>
        <w:left w:val="none" w:sz="0" w:space="0" w:color="auto"/>
        <w:bottom w:val="none" w:sz="0" w:space="0" w:color="auto"/>
        <w:right w:val="none" w:sz="0" w:space="0" w:color="auto"/>
      </w:divBdr>
      <w:divsChild>
        <w:div w:id="723062883">
          <w:marLeft w:val="0"/>
          <w:marRight w:val="0"/>
          <w:marTop w:val="0"/>
          <w:marBottom w:val="0"/>
          <w:divBdr>
            <w:top w:val="none" w:sz="0" w:space="0" w:color="auto"/>
            <w:left w:val="none" w:sz="0" w:space="0" w:color="auto"/>
            <w:bottom w:val="none" w:sz="0" w:space="0" w:color="auto"/>
            <w:right w:val="none" w:sz="0" w:space="0" w:color="auto"/>
          </w:divBdr>
          <w:divsChild>
            <w:div w:id="26180284">
              <w:marLeft w:val="0"/>
              <w:marRight w:val="0"/>
              <w:marTop w:val="0"/>
              <w:marBottom w:val="0"/>
              <w:divBdr>
                <w:top w:val="none" w:sz="0" w:space="0" w:color="auto"/>
                <w:left w:val="none" w:sz="0" w:space="0" w:color="auto"/>
                <w:bottom w:val="none" w:sz="0" w:space="0" w:color="auto"/>
                <w:right w:val="none" w:sz="0" w:space="0" w:color="auto"/>
              </w:divBdr>
              <w:divsChild>
                <w:div w:id="1134560430">
                  <w:marLeft w:val="0"/>
                  <w:marRight w:val="0"/>
                  <w:marTop w:val="0"/>
                  <w:marBottom w:val="0"/>
                  <w:divBdr>
                    <w:top w:val="none" w:sz="0" w:space="0" w:color="auto"/>
                    <w:left w:val="none" w:sz="0" w:space="0" w:color="auto"/>
                    <w:bottom w:val="none" w:sz="0" w:space="0" w:color="auto"/>
                    <w:right w:val="none" w:sz="0" w:space="0" w:color="auto"/>
                  </w:divBdr>
                  <w:divsChild>
                    <w:div w:id="2117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41006">
      <w:bodyDiv w:val="1"/>
      <w:marLeft w:val="0"/>
      <w:marRight w:val="0"/>
      <w:marTop w:val="0"/>
      <w:marBottom w:val="0"/>
      <w:divBdr>
        <w:top w:val="none" w:sz="0" w:space="0" w:color="auto"/>
        <w:left w:val="none" w:sz="0" w:space="0" w:color="auto"/>
        <w:bottom w:val="none" w:sz="0" w:space="0" w:color="auto"/>
        <w:right w:val="none" w:sz="0" w:space="0" w:color="auto"/>
      </w:divBdr>
      <w:divsChild>
        <w:div w:id="498277599">
          <w:marLeft w:val="0"/>
          <w:marRight w:val="0"/>
          <w:marTop w:val="0"/>
          <w:marBottom w:val="0"/>
          <w:divBdr>
            <w:top w:val="none" w:sz="0" w:space="0" w:color="auto"/>
            <w:left w:val="none" w:sz="0" w:space="0" w:color="auto"/>
            <w:bottom w:val="none" w:sz="0" w:space="0" w:color="auto"/>
            <w:right w:val="none" w:sz="0" w:space="0" w:color="auto"/>
          </w:divBdr>
          <w:divsChild>
            <w:div w:id="1450122750">
              <w:marLeft w:val="0"/>
              <w:marRight w:val="0"/>
              <w:marTop w:val="0"/>
              <w:marBottom w:val="0"/>
              <w:divBdr>
                <w:top w:val="none" w:sz="0" w:space="0" w:color="auto"/>
                <w:left w:val="none" w:sz="0" w:space="0" w:color="auto"/>
                <w:bottom w:val="none" w:sz="0" w:space="0" w:color="auto"/>
                <w:right w:val="none" w:sz="0" w:space="0" w:color="auto"/>
              </w:divBdr>
              <w:divsChild>
                <w:div w:id="1954441562">
                  <w:marLeft w:val="0"/>
                  <w:marRight w:val="0"/>
                  <w:marTop w:val="0"/>
                  <w:marBottom w:val="0"/>
                  <w:divBdr>
                    <w:top w:val="none" w:sz="0" w:space="0" w:color="auto"/>
                    <w:left w:val="none" w:sz="0" w:space="0" w:color="auto"/>
                    <w:bottom w:val="none" w:sz="0" w:space="0" w:color="auto"/>
                    <w:right w:val="none" w:sz="0" w:space="0" w:color="auto"/>
                  </w:divBdr>
                  <w:divsChild>
                    <w:div w:id="865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0263">
      <w:bodyDiv w:val="1"/>
      <w:marLeft w:val="0"/>
      <w:marRight w:val="0"/>
      <w:marTop w:val="0"/>
      <w:marBottom w:val="0"/>
      <w:divBdr>
        <w:top w:val="none" w:sz="0" w:space="0" w:color="auto"/>
        <w:left w:val="none" w:sz="0" w:space="0" w:color="auto"/>
        <w:bottom w:val="none" w:sz="0" w:space="0" w:color="auto"/>
        <w:right w:val="none" w:sz="0" w:space="0" w:color="auto"/>
      </w:divBdr>
      <w:divsChild>
        <w:div w:id="743843200">
          <w:marLeft w:val="0"/>
          <w:marRight w:val="0"/>
          <w:marTop w:val="0"/>
          <w:marBottom w:val="0"/>
          <w:divBdr>
            <w:top w:val="none" w:sz="0" w:space="0" w:color="auto"/>
            <w:left w:val="none" w:sz="0" w:space="0" w:color="auto"/>
            <w:bottom w:val="none" w:sz="0" w:space="0" w:color="auto"/>
            <w:right w:val="none" w:sz="0" w:space="0" w:color="auto"/>
          </w:divBdr>
          <w:divsChild>
            <w:div w:id="1085569894">
              <w:marLeft w:val="0"/>
              <w:marRight w:val="0"/>
              <w:marTop w:val="0"/>
              <w:marBottom w:val="0"/>
              <w:divBdr>
                <w:top w:val="none" w:sz="0" w:space="0" w:color="auto"/>
                <w:left w:val="none" w:sz="0" w:space="0" w:color="auto"/>
                <w:bottom w:val="none" w:sz="0" w:space="0" w:color="auto"/>
                <w:right w:val="none" w:sz="0" w:space="0" w:color="auto"/>
              </w:divBdr>
              <w:divsChild>
                <w:div w:id="14226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4517">
      <w:bodyDiv w:val="1"/>
      <w:marLeft w:val="0"/>
      <w:marRight w:val="0"/>
      <w:marTop w:val="0"/>
      <w:marBottom w:val="0"/>
      <w:divBdr>
        <w:top w:val="none" w:sz="0" w:space="0" w:color="auto"/>
        <w:left w:val="none" w:sz="0" w:space="0" w:color="auto"/>
        <w:bottom w:val="none" w:sz="0" w:space="0" w:color="auto"/>
        <w:right w:val="none" w:sz="0" w:space="0" w:color="auto"/>
      </w:divBdr>
      <w:divsChild>
        <w:div w:id="720784518">
          <w:marLeft w:val="0"/>
          <w:marRight w:val="0"/>
          <w:marTop w:val="0"/>
          <w:marBottom w:val="0"/>
          <w:divBdr>
            <w:top w:val="none" w:sz="0" w:space="0" w:color="auto"/>
            <w:left w:val="none" w:sz="0" w:space="0" w:color="auto"/>
            <w:bottom w:val="none" w:sz="0" w:space="0" w:color="auto"/>
            <w:right w:val="none" w:sz="0" w:space="0" w:color="auto"/>
          </w:divBdr>
          <w:divsChild>
            <w:div w:id="1059979775">
              <w:marLeft w:val="0"/>
              <w:marRight w:val="0"/>
              <w:marTop w:val="0"/>
              <w:marBottom w:val="0"/>
              <w:divBdr>
                <w:top w:val="none" w:sz="0" w:space="0" w:color="auto"/>
                <w:left w:val="none" w:sz="0" w:space="0" w:color="auto"/>
                <w:bottom w:val="none" w:sz="0" w:space="0" w:color="auto"/>
                <w:right w:val="none" w:sz="0" w:space="0" w:color="auto"/>
              </w:divBdr>
              <w:divsChild>
                <w:div w:id="1000474599">
                  <w:marLeft w:val="0"/>
                  <w:marRight w:val="0"/>
                  <w:marTop w:val="0"/>
                  <w:marBottom w:val="0"/>
                  <w:divBdr>
                    <w:top w:val="none" w:sz="0" w:space="0" w:color="auto"/>
                    <w:left w:val="none" w:sz="0" w:space="0" w:color="auto"/>
                    <w:bottom w:val="none" w:sz="0" w:space="0" w:color="auto"/>
                    <w:right w:val="none" w:sz="0" w:space="0" w:color="auto"/>
                  </w:divBdr>
                  <w:divsChild>
                    <w:div w:id="19838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1274">
      <w:bodyDiv w:val="1"/>
      <w:marLeft w:val="0"/>
      <w:marRight w:val="0"/>
      <w:marTop w:val="0"/>
      <w:marBottom w:val="0"/>
      <w:divBdr>
        <w:top w:val="none" w:sz="0" w:space="0" w:color="auto"/>
        <w:left w:val="none" w:sz="0" w:space="0" w:color="auto"/>
        <w:bottom w:val="none" w:sz="0" w:space="0" w:color="auto"/>
        <w:right w:val="none" w:sz="0" w:space="0" w:color="auto"/>
      </w:divBdr>
      <w:divsChild>
        <w:div w:id="548155511">
          <w:marLeft w:val="0"/>
          <w:marRight w:val="0"/>
          <w:marTop w:val="0"/>
          <w:marBottom w:val="0"/>
          <w:divBdr>
            <w:top w:val="none" w:sz="0" w:space="0" w:color="auto"/>
            <w:left w:val="none" w:sz="0" w:space="0" w:color="auto"/>
            <w:bottom w:val="none" w:sz="0" w:space="0" w:color="auto"/>
            <w:right w:val="none" w:sz="0" w:space="0" w:color="auto"/>
          </w:divBdr>
          <w:divsChild>
            <w:div w:id="1520923744">
              <w:marLeft w:val="0"/>
              <w:marRight w:val="0"/>
              <w:marTop w:val="0"/>
              <w:marBottom w:val="0"/>
              <w:divBdr>
                <w:top w:val="none" w:sz="0" w:space="0" w:color="auto"/>
                <w:left w:val="none" w:sz="0" w:space="0" w:color="auto"/>
                <w:bottom w:val="none" w:sz="0" w:space="0" w:color="auto"/>
                <w:right w:val="none" w:sz="0" w:space="0" w:color="auto"/>
              </w:divBdr>
              <w:divsChild>
                <w:div w:id="17766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5892">
      <w:bodyDiv w:val="1"/>
      <w:marLeft w:val="0"/>
      <w:marRight w:val="0"/>
      <w:marTop w:val="0"/>
      <w:marBottom w:val="0"/>
      <w:divBdr>
        <w:top w:val="none" w:sz="0" w:space="0" w:color="auto"/>
        <w:left w:val="none" w:sz="0" w:space="0" w:color="auto"/>
        <w:bottom w:val="none" w:sz="0" w:space="0" w:color="auto"/>
        <w:right w:val="none" w:sz="0" w:space="0" w:color="auto"/>
      </w:divBdr>
      <w:divsChild>
        <w:div w:id="792596703">
          <w:marLeft w:val="0"/>
          <w:marRight w:val="0"/>
          <w:marTop w:val="0"/>
          <w:marBottom w:val="0"/>
          <w:divBdr>
            <w:top w:val="none" w:sz="0" w:space="0" w:color="auto"/>
            <w:left w:val="none" w:sz="0" w:space="0" w:color="auto"/>
            <w:bottom w:val="none" w:sz="0" w:space="0" w:color="auto"/>
            <w:right w:val="none" w:sz="0" w:space="0" w:color="auto"/>
          </w:divBdr>
          <w:divsChild>
            <w:div w:id="336346087">
              <w:marLeft w:val="0"/>
              <w:marRight w:val="0"/>
              <w:marTop w:val="0"/>
              <w:marBottom w:val="0"/>
              <w:divBdr>
                <w:top w:val="none" w:sz="0" w:space="0" w:color="auto"/>
                <w:left w:val="none" w:sz="0" w:space="0" w:color="auto"/>
                <w:bottom w:val="none" w:sz="0" w:space="0" w:color="auto"/>
                <w:right w:val="none" w:sz="0" w:space="0" w:color="auto"/>
              </w:divBdr>
              <w:divsChild>
                <w:div w:id="1689604703">
                  <w:marLeft w:val="0"/>
                  <w:marRight w:val="0"/>
                  <w:marTop w:val="0"/>
                  <w:marBottom w:val="0"/>
                  <w:divBdr>
                    <w:top w:val="none" w:sz="0" w:space="0" w:color="auto"/>
                    <w:left w:val="none" w:sz="0" w:space="0" w:color="auto"/>
                    <w:bottom w:val="none" w:sz="0" w:space="0" w:color="auto"/>
                    <w:right w:val="none" w:sz="0" w:space="0" w:color="auto"/>
                  </w:divBdr>
                  <w:divsChild>
                    <w:div w:id="246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8941">
      <w:bodyDiv w:val="1"/>
      <w:marLeft w:val="0"/>
      <w:marRight w:val="0"/>
      <w:marTop w:val="0"/>
      <w:marBottom w:val="0"/>
      <w:divBdr>
        <w:top w:val="none" w:sz="0" w:space="0" w:color="auto"/>
        <w:left w:val="none" w:sz="0" w:space="0" w:color="auto"/>
        <w:bottom w:val="none" w:sz="0" w:space="0" w:color="auto"/>
        <w:right w:val="none" w:sz="0" w:space="0" w:color="auto"/>
      </w:divBdr>
      <w:divsChild>
        <w:div w:id="1490974978">
          <w:marLeft w:val="0"/>
          <w:marRight w:val="0"/>
          <w:marTop w:val="0"/>
          <w:marBottom w:val="0"/>
          <w:divBdr>
            <w:top w:val="none" w:sz="0" w:space="0" w:color="auto"/>
            <w:left w:val="none" w:sz="0" w:space="0" w:color="auto"/>
            <w:bottom w:val="none" w:sz="0" w:space="0" w:color="auto"/>
            <w:right w:val="none" w:sz="0" w:space="0" w:color="auto"/>
          </w:divBdr>
          <w:divsChild>
            <w:div w:id="45418108">
              <w:marLeft w:val="0"/>
              <w:marRight w:val="0"/>
              <w:marTop w:val="0"/>
              <w:marBottom w:val="0"/>
              <w:divBdr>
                <w:top w:val="none" w:sz="0" w:space="0" w:color="auto"/>
                <w:left w:val="none" w:sz="0" w:space="0" w:color="auto"/>
                <w:bottom w:val="none" w:sz="0" w:space="0" w:color="auto"/>
                <w:right w:val="none" w:sz="0" w:space="0" w:color="auto"/>
              </w:divBdr>
              <w:divsChild>
                <w:div w:id="12013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7944">
      <w:bodyDiv w:val="1"/>
      <w:marLeft w:val="0"/>
      <w:marRight w:val="0"/>
      <w:marTop w:val="0"/>
      <w:marBottom w:val="0"/>
      <w:divBdr>
        <w:top w:val="none" w:sz="0" w:space="0" w:color="auto"/>
        <w:left w:val="none" w:sz="0" w:space="0" w:color="auto"/>
        <w:bottom w:val="none" w:sz="0" w:space="0" w:color="auto"/>
        <w:right w:val="none" w:sz="0" w:space="0" w:color="auto"/>
      </w:divBdr>
    </w:div>
    <w:div w:id="1967806123">
      <w:bodyDiv w:val="1"/>
      <w:marLeft w:val="0"/>
      <w:marRight w:val="0"/>
      <w:marTop w:val="0"/>
      <w:marBottom w:val="0"/>
      <w:divBdr>
        <w:top w:val="none" w:sz="0" w:space="0" w:color="auto"/>
        <w:left w:val="none" w:sz="0" w:space="0" w:color="auto"/>
        <w:bottom w:val="none" w:sz="0" w:space="0" w:color="auto"/>
        <w:right w:val="none" w:sz="0" w:space="0" w:color="auto"/>
      </w:divBdr>
      <w:divsChild>
        <w:div w:id="189684061">
          <w:marLeft w:val="0"/>
          <w:marRight w:val="0"/>
          <w:marTop w:val="0"/>
          <w:marBottom w:val="0"/>
          <w:divBdr>
            <w:top w:val="none" w:sz="0" w:space="0" w:color="auto"/>
            <w:left w:val="none" w:sz="0" w:space="0" w:color="auto"/>
            <w:bottom w:val="none" w:sz="0" w:space="0" w:color="auto"/>
            <w:right w:val="none" w:sz="0" w:space="0" w:color="auto"/>
          </w:divBdr>
          <w:divsChild>
            <w:div w:id="1583484989">
              <w:marLeft w:val="0"/>
              <w:marRight w:val="0"/>
              <w:marTop w:val="0"/>
              <w:marBottom w:val="0"/>
              <w:divBdr>
                <w:top w:val="none" w:sz="0" w:space="0" w:color="auto"/>
                <w:left w:val="none" w:sz="0" w:space="0" w:color="auto"/>
                <w:bottom w:val="none" w:sz="0" w:space="0" w:color="auto"/>
                <w:right w:val="none" w:sz="0" w:space="0" w:color="auto"/>
              </w:divBdr>
              <w:divsChild>
                <w:div w:id="198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37981">
      <w:bodyDiv w:val="1"/>
      <w:marLeft w:val="0"/>
      <w:marRight w:val="0"/>
      <w:marTop w:val="0"/>
      <w:marBottom w:val="0"/>
      <w:divBdr>
        <w:top w:val="none" w:sz="0" w:space="0" w:color="auto"/>
        <w:left w:val="none" w:sz="0" w:space="0" w:color="auto"/>
        <w:bottom w:val="none" w:sz="0" w:space="0" w:color="auto"/>
        <w:right w:val="none" w:sz="0" w:space="0" w:color="auto"/>
      </w:divBdr>
    </w:div>
    <w:div w:id="1991013648">
      <w:bodyDiv w:val="1"/>
      <w:marLeft w:val="0"/>
      <w:marRight w:val="0"/>
      <w:marTop w:val="0"/>
      <w:marBottom w:val="0"/>
      <w:divBdr>
        <w:top w:val="none" w:sz="0" w:space="0" w:color="auto"/>
        <w:left w:val="none" w:sz="0" w:space="0" w:color="auto"/>
        <w:bottom w:val="none" w:sz="0" w:space="0" w:color="auto"/>
        <w:right w:val="none" w:sz="0" w:space="0" w:color="auto"/>
      </w:divBdr>
      <w:divsChild>
        <w:div w:id="1921056824">
          <w:marLeft w:val="0"/>
          <w:marRight w:val="0"/>
          <w:marTop w:val="0"/>
          <w:marBottom w:val="0"/>
          <w:divBdr>
            <w:top w:val="none" w:sz="0" w:space="0" w:color="auto"/>
            <w:left w:val="none" w:sz="0" w:space="0" w:color="auto"/>
            <w:bottom w:val="none" w:sz="0" w:space="0" w:color="auto"/>
            <w:right w:val="none" w:sz="0" w:space="0" w:color="auto"/>
          </w:divBdr>
          <w:divsChild>
            <w:div w:id="1748727539">
              <w:marLeft w:val="0"/>
              <w:marRight w:val="0"/>
              <w:marTop w:val="0"/>
              <w:marBottom w:val="0"/>
              <w:divBdr>
                <w:top w:val="none" w:sz="0" w:space="0" w:color="auto"/>
                <w:left w:val="none" w:sz="0" w:space="0" w:color="auto"/>
                <w:bottom w:val="none" w:sz="0" w:space="0" w:color="auto"/>
                <w:right w:val="none" w:sz="0" w:space="0" w:color="auto"/>
              </w:divBdr>
              <w:divsChild>
                <w:div w:id="632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661">
      <w:bodyDiv w:val="1"/>
      <w:marLeft w:val="0"/>
      <w:marRight w:val="0"/>
      <w:marTop w:val="0"/>
      <w:marBottom w:val="0"/>
      <w:divBdr>
        <w:top w:val="none" w:sz="0" w:space="0" w:color="auto"/>
        <w:left w:val="none" w:sz="0" w:space="0" w:color="auto"/>
        <w:bottom w:val="none" w:sz="0" w:space="0" w:color="auto"/>
        <w:right w:val="none" w:sz="0" w:space="0" w:color="auto"/>
      </w:divBdr>
      <w:divsChild>
        <w:div w:id="455608774">
          <w:marLeft w:val="0"/>
          <w:marRight w:val="0"/>
          <w:marTop w:val="0"/>
          <w:marBottom w:val="0"/>
          <w:divBdr>
            <w:top w:val="none" w:sz="0" w:space="0" w:color="auto"/>
            <w:left w:val="none" w:sz="0" w:space="0" w:color="auto"/>
            <w:bottom w:val="none" w:sz="0" w:space="0" w:color="auto"/>
            <w:right w:val="none" w:sz="0" w:space="0" w:color="auto"/>
          </w:divBdr>
          <w:divsChild>
            <w:div w:id="1326516112">
              <w:marLeft w:val="0"/>
              <w:marRight w:val="0"/>
              <w:marTop w:val="0"/>
              <w:marBottom w:val="0"/>
              <w:divBdr>
                <w:top w:val="none" w:sz="0" w:space="0" w:color="auto"/>
                <w:left w:val="none" w:sz="0" w:space="0" w:color="auto"/>
                <w:bottom w:val="none" w:sz="0" w:space="0" w:color="auto"/>
                <w:right w:val="none" w:sz="0" w:space="0" w:color="auto"/>
              </w:divBdr>
              <w:divsChild>
                <w:div w:id="1993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326</Words>
  <Characters>1860</Characters>
  <Application>Microsoft Office Word</Application>
  <DocSecurity>0</DocSecurity>
  <Lines>15</Lines>
  <Paragraphs>4</Paragraphs>
  <ScaleCrop>false</ScaleCrop>
  <Company>Lenovo (Beijing) Limited</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libn</dc:creator>
  <cp:keywords/>
  <dc:description/>
  <cp:lastModifiedBy>李 冰 娜</cp:lastModifiedBy>
  <cp:revision>104</cp:revision>
  <cp:lastPrinted>2019-04-24T10:51:00Z</cp:lastPrinted>
  <dcterms:created xsi:type="dcterms:W3CDTF">2018-04-25T11:48:00Z</dcterms:created>
  <dcterms:modified xsi:type="dcterms:W3CDTF">2020-04-28T11:36:00Z</dcterms:modified>
</cp:coreProperties>
</file>